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2" w:hanging="4"/>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2">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4">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0" w:lineRule="auto"/>
        <w:ind w:left="0" w:hanging="2"/>
        <w:jc w:val="center"/>
        <w:rPr>
          <w:rFonts w:ascii="Times New Roman" w:cs="Times New Roman" w:eastAsia="Times New Roman" w:hAnsi="Times New Roman"/>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1828800</wp:posOffset>
            </wp:positionH>
            <wp:positionV relativeFrom="paragraph">
              <wp:posOffset>65405</wp:posOffset>
            </wp:positionV>
            <wp:extent cx="2439670" cy="1772920"/>
            <wp:effectExtent b="0" l="0" r="0" t="0"/>
            <wp:wrapNone/>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39670" cy="1772920"/>
                    </a:xfrm>
                    <a:prstGeom prst="rect"/>
                    <a:ln/>
                  </pic:spPr>
                </pic:pic>
              </a:graphicData>
            </a:graphic>
          </wp:anchor>
        </w:drawing>
      </w:r>
    </w:p>
    <w:p w:rsidR="00000000" w:rsidDel="00000000" w:rsidP="00000000" w:rsidRDefault="00000000" w:rsidRPr="00000000" w14:paraId="00000006">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7">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8">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9">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A">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spacing w:after="0" w:lineRule="auto"/>
        <w:ind w:left="0" w:hanging="2"/>
        <w:jc w:val="center"/>
        <w:rPr>
          <w:rFonts w:ascii="Times New Roman" w:cs="Times New Roman" w:eastAsia="Times New Roman" w:hAnsi="Times New Roman"/>
          <w:b w:val="1"/>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1830704</wp:posOffset>
            </wp:positionH>
            <wp:positionV relativeFrom="paragraph">
              <wp:posOffset>136525</wp:posOffset>
            </wp:positionV>
            <wp:extent cx="2457450" cy="528955"/>
            <wp:effectExtent b="0" l="0" r="0" t="0"/>
            <wp:wrapNone/>
            <wp:docPr id="8" name="image3.png"/>
            <a:graphic>
              <a:graphicData uri="http://schemas.openxmlformats.org/drawingml/2006/picture">
                <pic:pic>
                  <pic:nvPicPr>
                    <pic:cNvPr id="0" name="image3.png"/>
                    <pic:cNvPicPr preferRelativeResize="0"/>
                  </pic:nvPicPr>
                  <pic:blipFill>
                    <a:blip r:embed="rId8"/>
                    <a:srcRect b="0" l="5517" r="0" t="13572"/>
                    <a:stretch>
                      <a:fillRect/>
                    </a:stretch>
                  </pic:blipFill>
                  <pic:spPr>
                    <a:xfrm>
                      <a:off x="0" y="0"/>
                      <a:ext cx="2457450" cy="528955"/>
                    </a:xfrm>
                    <a:prstGeom prst="rect"/>
                    <a:ln/>
                  </pic:spPr>
                </pic:pic>
              </a:graphicData>
            </a:graphic>
          </wp:anchor>
        </w:drawing>
      </w:r>
    </w:p>
    <w:p w:rsidR="00000000" w:rsidDel="00000000" w:rsidP="00000000" w:rsidRDefault="00000000" w:rsidRPr="00000000" w14:paraId="0000000C">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D">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E">
      <w:pPr>
        <w:spacing w:after="0" w:lineRule="auto"/>
        <w:ind w:left="2" w:hanging="4"/>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F">
      <w:pPr>
        <w:spacing w:after="0" w:lineRule="auto"/>
        <w:ind w:left="2" w:hanging="4"/>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0">
      <w:pPr>
        <w:spacing w:after="0" w:lineRule="auto"/>
        <w:ind w:left="2" w:hanging="4"/>
        <w:jc w:val="center"/>
        <w:rPr>
          <w:sz w:val="40"/>
          <w:szCs w:val="40"/>
        </w:rPr>
      </w:pPr>
      <w:r w:rsidDel="00000000" w:rsidR="00000000" w:rsidRPr="00000000">
        <w:rPr>
          <w:b w:val="1"/>
          <w:sz w:val="40"/>
          <w:szCs w:val="40"/>
          <w:rtl w:val="0"/>
        </w:rPr>
        <w:t xml:space="preserve">Healthy URBan Environment: Developing Higher Education in Architecture and Construction in Bosnia and Herzegovina / HURBE</w:t>
      </w:r>
      <w:r w:rsidDel="00000000" w:rsidR="00000000" w:rsidRPr="00000000">
        <w:rPr>
          <w:rtl w:val="0"/>
        </w:rPr>
      </w:r>
    </w:p>
    <w:p w:rsidR="00000000" w:rsidDel="00000000" w:rsidP="00000000" w:rsidRDefault="00000000" w:rsidRPr="00000000" w14:paraId="00000011">
      <w:pPr>
        <w:spacing w:after="0" w:lineRule="auto"/>
        <w:ind w:left="2" w:hanging="4"/>
        <w:jc w:val="center"/>
        <w:rPr>
          <w:b w:val="1"/>
          <w:sz w:val="40"/>
          <w:szCs w:val="40"/>
        </w:rPr>
      </w:pPr>
      <w:r w:rsidDel="00000000" w:rsidR="00000000" w:rsidRPr="00000000">
        <w:rPr>
          <w:rtl w:val="0"/>
        </w:rPr>
      </w:r>
    </w:p>
    <w:p w:rsidR="00000000" w:rsidDel="00000000" w:rsidP="00000000" w:rsidRDefault="00000000" w:rsidRPr="00000000" w14:paraId="00000012">
      <w:pPr>
        <w:spacing w:after="0" w:lineRule="auto"/>
        <w:ind w:left="2" w:hanging="4"/>
        <w:jc w:val="center"/>
        <w:rPr>
          <w:b w:val="1"/>
          <w:sz w:val="40"/>
          <w:szCs w:val="40"/>
        </w:rPr>
      </w:pPr>
      <w:r w:rsidDel="00000000" w:rsidR="00000000" w:rsidRPr="00000000">
        <w:rPr>
          <w:rtl w:val="0"/>
        </w:rPr>
      </w:r>
    </w:p>
    <w:p w:rsidR="00000000" w:rsidDel="00000000" w:rsidP="00000000" w:rsidRDefault="00000000" w:rsidRPr="00000000" w14:paraId="00000013">
      <w:pPr>
        <w:spacing w:after="0" w:lineRule="auto"/>
        <w:ind w:left="3" w:hanging="5"/>
        <w:jc w:val="center"/>
        <w:rPr>
          <w:b w:val="1"/>
          <w:sz w:val="52"/>
          <w:szCs w:val="52"/>
        </w:rPr>
      </w:pPr>
      <w:r w:rsidDel="00000000" w:rsidR="00000000" w:rsidRPr="00000000">
        <w:rPr>
          <w:b w:val="1"/>
          <w:sz w:val="52"/>
          <w:szCs w:val="52"/>
          <w:rtl w:val="0"/>
        </w:rPr>
        <w:t xml:space="preserve">Quality Report</w:t>
      </w:r>
    </w:p>
    <w:p w:rsidR="00000000" w:rsidDel="00000000" w:rsidP="00000000" w:rsidRDefault="00000000" w:rsidRPr="00000000" w14:paraId="00000014">
      <w:pPr>
        <w:spacing w:after="0" w:lineRule="auto"/>
        <w:ind w:left="3" w:hanging="5"/>
        <w:jc w:val="center"/>
        <w:rPr>
          <w:b w:val="1"/>
          <w:sz w:val="52"/>
          <w:szCs w:val="52"/>
        </w:rPr>
      </w:pPr>
      <w:bookmarkStart w:colFirst="0" w:colLast="0" w:name="_heading=h.gjdgxs" w:id="0"/>
      <w:bookmarkEnd w:id="0"/>
      <w:r w:rsidDel="00000000" w:rsidR="00000000" w:rsidRPr="00000000">
        <w:rPr>
          <w:b w:val="1"/>
          <w:sz w:val="52"/>
          <w:szCs w:val="52"/>
          <w:rtl w:val="0"/>
        </w:rPr>
        <w:t xml:space="preserve">Work Package 1</w:t>
      </w:r>
    </w:p>
    <w:p w:rsidR="00000000" w:rsidDel="00000000" w:rsidP="00000000" w:rsidRDefault="00000000" w:rsidRPr="00000000" w14:paraId="00000015">
      <w:pPr>
        <w:spacing w:after="0" w:lineRule="auto"/>
        <w:ind w:left="3" w:hanging="5"/>
        <w:jc w:val="center"/>
        <w:rPr>
          <w:sz w:val="52"/>
          <w:szCs w:val="52"/>
        </w:rPr>
      </w:pPr>
      <w:r w:rsidDel="00000000" w:rsidR="00000000" w:rsidRPr="00000000">
        <w:rPr>
          <w:sz w:val="52"/>
          <w:szCs w:val="52"/>
          <w:rtl w:val="0"/>
        </w:rPr>
        <w:t xml:space="preserve">Dates: </w:t>
      </w:r>
      <w:r w:rsidDel="00000000" w:rsidR="00000000" w:rsidRPr="00000000">
        <w:rPr>
          <w:sz w:val="44"/>
          <w:szCs w:val="44"/>
          <w:rtl w:val="0"/>
        </w:rPr>
        <w:t xml:space="preserve">15 November 2018 – 14 November 2021</w:t>
      </w:r>
      <w:r w:rsidDel="00000000" w:rsidR="00000000" w:rsidRPr="00000000">
        <w:rPr>
          <w:rtl w:val="0"/>
        </w:rPr>
      </w:r>
    </w:p>
    <w:p w:rsidR="00000000" w:rsidDel="00000000" w:rsidP="00000000" w:rsidRDefault="00000000" w:rsidRPr="00000000" w14:paraId="00000016">
      <w:pPr>
        <w:spacing w:after="0" w:lineRule="auto"/>
        <w:ind w:left="3" w:hanging="5"/>
        <w:rPr>
          <w:b w:val="1"/>
          <w:sz w:val="52"/>
          <w:szCs w:val="52"/>
        </w:rPr>
      </w:pPr>
      <w:r w:rsidDel="00000000" w:rsidR="00000000" w:rsidRPr="00000000">
        <w:rPr>
          <w:rtl w:val="0"/>
        </w:rPr>
      </w:r>
    </w:p>
    <w:p w:rsidR="00000000" w:rsidDel="00000000" w:rsidP="00000000" w:rsidRDefault="00000000" w:rsidRPr="00000000" w14:paraId="00000017">
      <w:pPr>
        <w:ind w:left="2" w:hanging="4"/>
        <w:rPr>
          <w:sz w:val="44"/>
          <w:szCs w:val="44"/>
        </w:rPr>
      </w:pPr>
      <w:r w:rsidDel="00000000" w:rsidR="00000000" w:rsidRPr="00000000">
        <w:rPr>
          <w:rtl w:val="0"/>
        </w:rPr>
      </w:r>
    </w:p>
    <w:p w:rsidR="00000000" w:rsidDel="00000000" w:rsidP="00000000" w:rsidRDefault="00000000" w:rsidRPr="00000000" w14:paraId="00000018">
      <w:pPr>
        <w:ind w:left="2" w:hanging="4"/>
        <w:rPr>
          <w:sz w:val="44"/>
          <w:szCs w:val="44"/>
        </w:rPr>
      </w:pPr>
      <w:r w:rsidDel="00000000" w:rsidR="00000000" w:rsidRPr="00000000">
        <w:rPr>
          <w:rtl w:val="0"/>
        </w:rPr>
      </w:r>
    </w:p>
    <w:p w:rsidR="00000000" w:rsidDel="00000000" w:rsidP="00000000" w:rsidRDefault="00000000" w:rsidRPr="00000000" w14:paraId="00000019">
      <w:pPr>
        <w:ind w:left="2" w:hanging="4"/>
        <w:rPr>
          <w:sz w:val="44"/>
          <w:szCs w:val="44"/>
        </w:rPr>
      </w:pPr>
      <w:r w:rsidDel="00000000" w:rsidR="00000000" w:rsidRPr="00000000">
        <w:rPr>
          <w:rtl w:val="0"/>
        </w:rPr>
      </w:r>
    </w:p>
    <w:p w:rsidR="00000000" w:rsidDel="00000000" w:rsidP="00000000" w:rsidRDefault="00000000" w:rsidRPr="00000000" w14:paraId="0000001A">
      <w:pPr>
        <w:ind w:left="0" w:hanging="2"/>
        <w:rPr>
          <w:sz w:val="32"/>
          <w:szCs w:val="32"/>
        </w:rPr>
      </w:pPr>
      <w:r w:rsidDel="00000000" w:rsidR="00000000" w:rsidRPr="00000000">
        <w:rPr/>
        <w:drawing>
          <wp:anchor allowOverlap="1" behindDoc="0" distB="0" distT="0" distL="114300" distR="114300" hidden="0" layoutInCell="1" locked="0" relativeHeight="0" simplePos="0">
            <wp:simplePos x="0" y="0"/>
            <wp:positionH relativeFrom="leftMargin">
              <wp:posOffset>-412747</wp:posOffset>
            </wp:positionH>
            <wp:positionV relativeFrom="topMargin">
              <wp:posOffset>-46988</wp:posOffset>
            </wp:positionV>
            <wp:extent cx="2080260" cy="1516380"/>
            <wp:effectExtent b="0" l="0" r="0" t="0"/>
            <wp:wrapSquare wrapText="bothSides" distB="0" distT="0" distL="114300" distR="114300"/>
            <wp:docPr id="10" name="image2.jpg"/>
            <a:graphic>
              <a:graphicData uri="http://schemas.openxmlformats.org/drawingml/2006/picture">
                <pic:pic>
                  <pic:nvPicPr>
                    <pic:cNvPr id="0" name="image2.jpg"/>
                    <pic:cNvPicPr preferRelativeResize="0"/>
                  </pic:nvPicPr>
                  <pic:blipFill>
                    <a:blip r:embed="rId9"/>
                    <a:srcRect b="17250" l="17813" r="17265" t="25757"/>
                    <a:stretch>
                      <a:fillRect/>
                    </a:stretch>
                  </pic:blipFill>
                  <pic:spPr>
                    <a:xfrm>
                      <a:off x="0" y="0"/>
                      <a:ext cx="2080260" cy="1516380"/>
                    </a:xfrm>
                    <a:prstGeom prst="rect"/>
                    <a:ln/>
                  </pic:spPr>
                </pic:pic>
              </a:graphicData>
            </a:graphic>
          </wp:anchor>
        </w:drawing>
      </w:r>
      <w:r w:rsidDel="00000000" w:rsidR="00000000" w:rsidRPr="00000000">
        <w:rPr>
          <w:b w:val="1"/>
          <w:sz w:val="44"/>
          <w:szCs w:val="44"/>
          <w:rtl w:val="0"/>
        </w:rPr>
        <w:t xml:space="preserve">Quality report WP 1</w:t>
      </w:r>
      <w:r w:rsidDel="00000000" w:rsidR="00000000" w:rsidRPr="00000000">
        <w:rPr>
          <w:rtl w:val="0"/>
        </w:rPr>
      </w:r>
    </w:p>
    <w:p w:rsidR="00000000" w:rsidDel="00000000" w:rsidP="00000000" w:rsidRDefault="00000000" w:rsidRPr="00000000" w14:paraId="0000001B">
      <w:pPr>
        <w:spacing w:line="240" w:lineRule="auto"/>
        <w:ind w:left="1" w:hanging="3"/>
        <w:rPr>
          <w:sz w:val="32"/>
          <w:szCs w:val="32"/>
          <w:u w:val="single"/>
        </w:rPr>
      </w:pPr>
      <w:r w:rsidDel="00000000" w:rsidR="00000000" w:rsidRPr="00000000">
        <w:rPr>
          <w:sz w:val="32"/>
          <w:szCs w:val="32"/>
          <w:rtl w:val="0"/>
        </w:rPr>
        <w:t xml:space="preserve">15 November 2018 – 14 November 2021</w:t>
      </w:r>
      <w:r w:rsidDel="00000000" w:rsidR="00000000" w:rsidRPr="00000000">
        <w:rPr>
          <w:rtl w:val="0"/>
        </w:rPr>
      </w:r>
    </w:p>
    <w:p w:rsidR="00000000" w:rsidDel="00000000" w:rsidP="00000000" w:rsidRDefault="00000000" w:rsidRPr="00000000" w14:paraId="0000001C">
      <w:pPr>
        <w:spacing w:line="240" w:lineRule="auto"/>
        <w:ind w:left="1" w:hanging="3"/>
        <w:rPr>
          <w:sz w:val="32"/>
          <w:szCs w:val="32"/>
        </w:rPr>
      </w:pPr>
      <w:r w:rsidDel="00000000" w:rsidR="00000000" w:rsidRPr="00000000">
        <w:rPr>
          <w:b w:val="1"/>
          <w:sz w:val="32"/>
          <w:szCs w:val="32"/>
          <w:rtl w:val="0"/>
        </w:rPr>
        <w:t xml:space="preserve">Lead Organization</w:t>
      </w:r>
      <w:r w:rsidDel="00000000" w:rsidR="00000000" w:rsidRPr="00000000">
        <w:rPr>
          <w:sz w:val="32"/>
          <w:szCs w:val="32"/>
          <w:rtl w:val="0"/>
        </w:rPr>
        <w:t xml:space="preserve"> P3: Faculty of Architecture University of Zagreb</w:t>
      </w:r>
    </w:p>
    <w:tbl>
      <w:tblPr>
        <w:tblStyle w:val="Table1"/>
        <w:tblW w:w="1017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6"/>
        <w:gridCol w:w="4320"/>
        <w:gridCol w:w="2822"/>
        <w:tblGridChange w:id="0">
          <w:tblGrid>
            <w:gridCol w:w="3036"/>
            <w:gridCol w:w="4320"/>
            <w:gridCol w:w="2822"/>
          </w:tblGrid>
        </w:tblGridChange>
      </w:tblGrid>
      <w:tr>
        <w:trPr>
          <w:cantSplit w:val="0"/>
          <w:tblHeader w:val="0"/>
        </w:trPr>
        <w:tc>
          <w:tcPr>
            <w:shd w:fill="auto" w:val="clear"/>
            <w:vAlign w:val="center"/>
          </w:tcPr>
          <w:p w:rsidR="00000000" w:rsidDel="00000000" w:rsidP="00000000" w:rsidRDefault="00000000" w:rsidRPr="00000000" w14:paraId="0000001D">
            <w:pPr>
              <w:spacing w:after="0" w:line="240" w:lineRule="auto"/>
              <w:ind w:left="0" w:hanging="2"/>
              <w:rPr>
                <w:sz w:val="20"/>
                <w:szCs w:val="20"/>
              </w:rPr>
            </w:pPr>
            <w:r w:rsidDel="00000000" w:rsidR="00000000" w:rsidRPr="00000000">
              <w:rPr>
                <w:b w:val="1"/>
                <w:sz w:val="20"/>
                <w:szCs w:val="20"/>
                <w:rtl w:val="0"/>
              </w:rPr>
              <w:t xml:space="preserve">Type of report</w:t>
            </w:r>
            <w:r w:rsidDel="00000000" w:rsidR="00000000" w:rsidRPr="00000000">
              <w:rPr>
                <w:rtl w:val="0"/>
              </w:rPr>
            </w:r>
          </w:p>
        </w:tc>
        <w:tc>
          <w:tcPr>
            <w:shd w:fill="d9ecff" w:val="clear"/>
            <w:vAlign w:val="center"/>
          </w:tcPr>
          <w:p w:rsidR="00000000" w:rsidDel="00000000" w:rsidP="00000000" w:rsidRDefault="00000000" w:rsidRPr="00000000" w14:paraId="0000001E">
            <w:pPr>
              <w:spacing w:after="0" w:line="240" w:lineRule="auto"/>
              <w:ind w:left="0" w:hanging="2"/>
              <w:rPr>
                <w:sz w:val="20"/>
                <w:szCs w:val="20"/>
              </w:rPr>
            </w:pPr>
            <w:r w:rsidDel="00000000" w:rsidR="00000000" w:rsidRPr="00000000">
              <w:rPr>
                <w:sz w:val="20"/>
                <w:szCs w:val="20"/>
                <w:rtl w:val="0"/>
              </w:rPr>
              <w:t xml:space="preserve">final WP quality report</w:t>
            </w:r>
          </w:p>
        </w:tc>
        <w:tc>
          <w:tcPr>
            <w:shd w:fill="d9ecff" w:val="clear"/>
            <w:vAlign w:val="center"/>
          </w:tcPr>
          <w:p w:rsidR="00000000" w:rsidDel="00000000" w:rsidP="00000000" w:rsidRDefault="00000000" w:rsidRPr="00000000" w14:paraId="0000001F">
            <w:pPr>
              <w:spacing w:after="0" w:line="240" w:lineRule="auto"/>
              <w:ind w:left="0" w:hanging="2"/>
              <w:rPr>
                <w:sz w:val="20"/>
                <w:szCs w:val="20"/>
              </w:rPr>
            </w:pPr>
            <w:r w:rsidDel="00000000" w:rsidR="00000000" w:rsidRPr="00000000">
              <w:rPr>
                <w:sz w:val="20"/>
                <w:szCs w:val="20"/>
                <w:rtl w:val="0"/>
              </w:rPr>
              <w:t xml:space="preserve">15/11/ 2018_ 14/11/ 2021</w:t>
            </w:r>
          </w:p>
        </w:tc>
      </w:tr>
      <w:tr>
        <w:trPr>
          <w:cantSplit w:val="0"/>
          <w:trHeight w:val="395" w:hRule="atLeast"/>
          <w:tblHeader w:val="0"/>
        </w:trPr>
        <w:tc>
          <w:tcPr>
            <w:shd w:fill="auto" w:val="clear"/>
            <w:vAlign w:val="center"/>
          </w:tcPr>
          <w:p w:rsidR="00000000" w:rsidDel="00000000" w:rsidP="00000000" w:rsidRDefault="00000000" w:rsidRPr="00000000" w14:paraId="00000020">
            <w:pPr>
              <w:spacing w:after="0" w:line="240" w:lineRule="auto"/>
              <w:ind w:left="0" w:hanging="2"/>
              <w:rPr>
                <w:sz w:val="20"/>
                <w:szCs w:val="20"/>
              </w:rPr>
            </w:pPr>
            <w:r w:rsidDel="00000000" w:rsidR="00000000" w:rsidRPr="00000000">
              <w:rPr>
                <w:b w:val="1"/>
                <w:sz w:val="20"/>
                <w:szCs w:val="20"/>
                <w:rtl w:val="0"/>
              </w:rPr>
              <w:t xml:space="preserve">Work package type and ref.nr </w:t>
            </w:r>
            <w:r w:rsidDel="00000000" w:rsidR="00000000" w:rsidRPr="00000000">
              <w:rPr>
                <w:rtl w:val="0"/>
              </w:rPr>
            </w:r>
          </w:p>
        </w:tc>
        <w:tc>
          <w:tcPr>
            <w:shd w:fill="d9ecff" w:val="clear"/>
            <w:vAlign w:val="center"/>
          </w:tcPr>
          <w:p w:rsidR="00000000" w:rsidDel="00000000" w:rsidP="00000000" w:rsidRDefault="00000000" w:rsidRPr="00000000" w14:paraId="00000021">
            <w:pPr>
              <w:spacing w:after="0" w:line="240" w:lineRule="auto"/>
              <w:ind w:left="0" w:hanging="2"/>
              <w:rPr>
                <w:sz w:val="20"/>
                <w:szCs w:val="20"/>
              </w:rPr>
            </w:pPr>
            <w:r w:rsidDel="00000000" w:rsidR="00000000" w:rsidRPr="00000000">
              <w:rPr>
                <w:sz w:val="20"/>
                <w:szCs w:val="20"/>
                <w:rtl w:val="0"/>
              </w:rPr>
              <w:t xml:space="preserve">PREPARATION</w:t>
            </w:r>
          </w:p>
        </w:tc>
        <w:tc>
          <w:tcPr>
            <w:shd w:fill="d9ecff" w:val="clear"/>
            <w:vAlign w:val="center"/>
          </w:tcPr>
          <w:p w:rsidR="00000000" w:rsidDel="00000000" w:rsidP="00000000" w:rsidRDefault="00000000" w:rsidRPr="00000000" w14:paraId="00000022">
            <w:pPr>
              <w:spacing w:after="0" w:line="240" w:lineRule="auto"/>
              <w:ind w:left="0" w:hanging="2"/>
              <w:rPr>
                <w:sz w:val="20"/>
                <w:szCs w:val="20"/>
              </w:rPr>
            </w:pPr>
            <w:r w:rsidDel="00000000" w:rsidR="00000000" w:rsidRPr="00000000">
              <w:rPr>
                <w:sz w:val="20"/>
                <w:szCs w:val="20"/>
                <w:rtl w:val="0"/>
              </w:rPr>
              <w:t xml:space="preserve">1</w:t>
            </w:r>
          </w:p>
          <w:p w:rsidR="00000000" w:rsidDel="00000000" w:rsidP="00000000" w:rsidRDefault="00000000" w:rsidRPr="00000000" w14:paraId="00000023">
            <w:pPr>
              <w:spacing w:after="0" w:line="240" w:lineRule="auto"/>
              <w:ind w:left="0" w:hanging="2"/>
              <w:rPr>
                <w:sz w:val="20"/>
                <w:szCs w:val="20"/>
              </w:rPr>
            </w:pPr>
            <w:r w:rsidDel="00000000" w:rsidR="00000000" w:rsidRPr="00000000">
              <w:rPr>
                <w:rtl w:val="0"/>
              </w:rPr>
            </w:r>
          </w:p>
        </w:tc>
      </w:tr>
      <w:tr>
        <w:trPr>
          <w:cantSplit w:val="0"/>
          <w:trHeight w:val="350" w:hRule="atLeast"/>
          <w:tblHeader w:val="0"/>
        </w:trPr>
        <w:tc>
          <w:tcPr>
            <w:shd w:fill="auto" w:val="clear"/>
            <w:vAlign w:val="center"/>
          </w:tcPr>
          <w:p w:rsidR="00000000" w:rsidDel="00000000" w:rsidP="00000000" w:rsidRDefault="00000000" w:rsidRPr="00000000" w14:paraId="00000024">
            <w:pPr>
              <w:spacing w:after="0" w:line="240" w:lineRule="auto"/>
              <w:ind w:left="0" w:hanging="2"/>
              <w:rPr>
                <w:sz w:val="20"/>
                <w:szCs w:val="20"/>
              </w:rPr>
            </w:pPr>
            <w:r w:rsidDel="00000000" w:rsidR="00000000" w:rsidRPr="00000000">
              <w:rPr>
                <w:b w:val="1"/>
                <w:sz w:val="20"/>
                <w:szCs w:val="20"/>
                <w:rtl w:val="0"/>
              </w:rPr>
              <w:t xml:space="preserve">WP 1 Title</w:t>
            </w:r>
            <w:r w:rsidDel="00000000" w:rsidR="00000000" w:rsidRPr="00000000">
              <w:rPr>
                <w:rtl w:val="0"/>
              </w:rPr>
            </w:r>
          </w:p>
          <w:p w:rsidR="00000000" w:rsidDel="00000000" w:rsidP="00000000" w:rsidRDefault="00000000" w:rsidRPr="00000000" w14:paraId="00000025">
            <w:pPr>
              <w:spacing w:after="0" w:line="240" w:lineRule="auto"/>
              <w:ind w:left="0" w:hanging="2"/>
              <w:rPr>
                <w:sz w:val="20"/>
                <w:szCs w:val="20"/>
              </w:rPr>
            </w:pPr>
            <w:r w:rsidDel="00000000" w:rsidR="00000000" w:rsidRPr="00000000">
              <w:rPr>
                <w:rtl w:val="0"/>
              </w:rPr>
            </w:r>
          </w:p>
        </w:tc>
        <w:tc>
          <w:tcPr>
            <w:gridSpan w:val="2"/>
            <w:shd w:fill="d9ecff" w:val="clear"/>
            <w:vAlign w:val="center"/>
          </w:tcPr>
          <w:p w:rsidR="00000000" w:rsidDel="00000000" w:rsidP="00000000" w:rsidRDefault="00000000" w:rsidRPr="00000000" w14:paraId="00000026">
            <w:pPr>
              <w:spacing w:after="0" w:line="240" w:lineRule="auto"/>
              <w:ind w:left="0" w:hanging="2"/>
              <w:rPr>
                <w:sz w:val="20"/>
                <w:szCs w:val="20"/>
              </w:rPr>
            </w:pPr>
            <w:r w:rsidDel="00000000" w:rsidR="00000000" w:rsidRPr="00000000">
              <w:rPr>
                <w:sz w:val="20"/>
                <w:szCs w:val="20"/>
                <w:rtl w:val="0"/>
              </w:rPr>
              <w:t xml:space="preserve">Start up: needs on degree programmes and credit transfer</w:t>
            </w:r>
          </w:p>
        </w:tc>
      </w:tr>
      <w:tr>
        <w:trPr>
          <w:cantSplit w:val="0"/>
          <w:tblHeader w:val="0"/>
        </w:trPr>
        <w:tc>
          <w:tcPr>
            <w:shd w:fill="auto" w:val="clear"/>
            <w:vAlign w:val="center"/>
          </w:tcPr>
          <w:p w:rsidR="00000000" w:rsidDel="00000000" w:rsidP="00000000" w:rsidRDefault="00000000" w:rsidRPr="00000000" w14:paraId="00000028">
            <w:pPr>
              <w:spacing w:after="0" w:line="240" w:lineRule="auto"/>
              <w:ind w:left="0" w:hanging="2"/>
              <w:rPr>
                <w:sz w:val="20"/>
                <w:szCs w:val="20"/>
              </w:rPr>
            </w:pPr>
            <w:r w:rsidDel="00000000" w:rsidR="00000000" w:rsidRPr="00000000">
              <w:rPr>
                <w:b w:val="1"/>
                <w:sz w:val="20"/>
                <w:szCs w:val="20"/>
                <w:rtl w:val="0"/>
              </w:rPr>
              <w:t xml:space="preserve">Lead Organization</w:t>
            </w:r>
            <w:r w:rsidDel="00000000" w:rsidR="00000000" w:rsidRPr="00000000">
              <w:rPr>
                <w:rtl w:val="0"/>
              </w:rPr>
            </w:r>
          </w:p>
        </w:tc>
        <w:tc>
          <w:tcPr>
            <w:gridSpan w:val="2"/>
            <w:shd w:fill="d9ecff" w:val="clear"/>
            <w:vAlign w:val="center"/>
          </w:tcPr>
          <w:p w:rsidR="00000000" w:rsidDel="00000000" w:rsidP="00000000" w:rsidRDefault="00000000" w:rsidRPr="00000000" w14:paraId="00000029">
            <w:pPr>
              <w:spacing w:after="0" w:line="240" w:lineRule="auto"/>
              <w:ind w:left="0" w:hanging="2"/>
              <w:rPr>
                <w:sz w:val="20"/>
                <w:szCs w:val="20"/>
              </w:rPr>
            </w:pPr>
            <w:r w:rsidDel="00000000" w:rsidR="00000000" w:rsidRPr="00000000">
              <w:rPr>
                <w:sz w:val="20"/>
                <w:szCs w:val="20"/>
                <w:rtl w:val="0"/>
              </w:rPr>
              <w:t xml:space="preserve">P3. Faculty of Architecture University of Zagreb AF ZG</w:t>
            </w:r>
          </w:p>
        </w:tc>
      </w:tr>
      <w:tr>
        <w:trPr>
          <w:cantSplit w:val="0"/>
          <w:trHeight w:val="377" w:hRule="atLeast"/>
          <w:tblHeader w:val="0"/>
        </w:trPr>
        <w:tc>
          <w:tcPr>
            <w:shd w:fill="auto" w:val="clear"/>
            <w:vAlign w:val="center"/>
          </w:tcPr>
          <w:p w:rsidR="00000000" w:rsidDel="00000000" w:rsidP="00000000" w:rsidRDefault="00000000" w:rsidRPr="00000000" w14:paraId="0000002B">
            <w:pPr>
              <w:spacing w:after="0" w:line="240" w:lineRule="auto"/>
              <w:ind w:left="0" w:hanging="2"/>
              <w:rPr>
                <w:sz w:val="20"/>
                <w:szCs w:val="20"/>
              </w:rPr>
            </w:pPr>
            <w:r w:rsidDel="00000000" w:rsidR="00000000" w:rsidRPr="00000000">
              <w:rPr>
                <w:b w:val="1"/>
                <w:sz w:val="20"/>
                <w:szCs w:val="20"/>
                <w:rtl w:val="0"/>
              </w:rPr>
              <w:t xml:space="preserve">Date</w:t>
            </w:r>
            <w:r w:rsidDel="00000000" w:rsidR="00000000" w:rsidRPr="00000000">
              <w:rPr>
                <w:rtl w:val="0"/>
              </w:rPr>
            </w:r>
          </w:p>
        </w:tc>
        <w:tc>
          <w:tcPr>
            <w:gridSpan w:val="2"/>
            <w:shd w:fill="d9ecff" w:val="clear"/>
            <w:vAlign w:val="center"/>
          </w:tcPr>
          <w:p w:rsidR="00000000" w:rsidDel="00000000" w:rsidP="00000000" w:rsidRDefault="00000000" w:rsidRPr="00000000" w14:paraId="0000002C">
            <w:pPr>
              <w:spacing w:after="0" w:line="240" w:lineRule="auto"/>
              <w:ind w:left="0" w:hanging="2"/>
              <w:rPr>
                <w:sz w:val="20"/>
                <w:szCs w:val="20"/>
              </w:rPr>
            </w:pPr>
            <w:r w:rsidDel="00000000" w:rsidR="00000000" w:rsidRPr="00000000">
              <w:rPr>
                <w:sz w:val="20"/>
                <w:szCs w:val="20"/>
                <w:rtl w:val="0"/>
              </w:rPr>
              <w:t xml:space="preserve">14/11/2021</w:t>
            </w:r>
          </w:p>
        </w:tc>
      </w:tr>
      <w:tr>
        <w:trPr>
          <w:cantSplit w:val="0"/>
          <w:tblHeader w:val="0"/>
        </w:trPr>
        <w:tc>
          <w:tcPr/>
          <w:p w:rsidR="00000000" w:rsidDel="00000000" w:rsidP="00000000" w:rsidRDefault="00000000" w:rsidRPr="00000000" w14:paraId="0000002E">
            <w:pPr>
              <w:spacing w:after="0" w:line="240" w:lineRule="auto"/>
              <w:ind w:left="0" w:hanging="2"/>
              <w:rPr>
                <w:sz w:val="20"/>
                <w:szCs w:val="20"/>
              </w:rPr>
            </w:pPr>
            <w:r w:rsidDel="00000000" w:rsidR="00000000" w:rsidRPr="00000000">
              <w:rPr>
                <w:b w:val="1"/>
                <w:sz w:val="20"/>
                <w:szCs w:val="20"/>
                <w:rtl w:val="0"/>
              </w:rPr>
              <w:t xml:space="preserve">Quality report number</w:t>
            </w:r>
            <w:r w:rsidDel="00000000" w:rsidR="00000000" w:rsidRPr="00000000">
              <w:rPr>
                <w:rtl w:val="0"/>
              </w:rPr>
            </w:r>
          </w:p>
        </w:tc>
        <w:tc>
          <w:tcPr>
            <w:gridSpan w:val="2"/>
          </w:tcPr>
          <w:p w:rsidR="00000000" w:rsidDel="00000000" w:rsidP="00000000" w:rsidRDefault="00000000" w:rsidRPr="00000000" w14:paraId="0000002F">
            <w:pPr>
              <w:spacing w:after="0" w:line="240" w:lineRule="auto"/>
              <w:ind w:left="0" w:hanging="2"/>
              <w:rPr>
                <w:sz w:val="20"/>
                <w:szCs w:val="20"/>
              </w:rPr>
            </w:pPr>
            <w:r w:rsidDel="00000000" w:rsidR="00000000" w:rsidRPr="00000000">
              <w:rPr>
                <w:sz w:val="20"/>
                <w:szCs w:val="20"/>
                <w:rtl w:val="0"/>
              </w:rPr>
              <w:t xml:space="preserve">0</w:t>
            </w:r>
            <w:r w:rsidDel="00000000" w:rsidR="00000000" w:rsidRPr="00000000">
              <w:rPr>
                <w:rtl w:val="0"/>
              </w:rPr>
              <w:t xml:space="preserve">2</w:t>
            </w:r>
            <w:r w:rsidDel="00000000" w:rsidR="00000000" w:rsidRPr="00000000">
              <w:rPr>
                <w:rtl w:val="0"/>
              </w:rPr>
            </w:r>
          </w:p>
        </w:tc>
      </w:tr>
      <w:tr>
        <w:trPr>
          <w:cantSplit w:val="0"/>
          <w:trHeight w:val="493" w:hRule="atLeast"/>
          <w:tblHeader w:val="0"/>
        </w:trPr>
        <w:tc>
          <w:tcPr>
            <w:vAlign w:val="center"/>
          </w:tcPr>
          <w:p w:rsidR="00000000" w:rsidDel="00000000" w:rsidP="00000000" w:rsidRDefault="00000000" w:rsidRPr="00000000" w14:paraId="00000031">
            <w:pPr>
              <w:spacing w:after="0" w:line="240" w:lineRule="auto"/>
              <w:ind w:left="0" w:hanging="2"/>
              <w:rPr>
                <w:sz w:val="20"/>
                <w:szCs w:val="20"/>
              </w:rPr>
            </w:pPr>
            <w:r w:rsidDel="00000000" w:rsidR="00000000" w:rsidRPr="00000000">
              <w:rPr>
                <w:b w:val="1"/>
                <w:sz w:val="20"/>
                <w:szCs w:val="20"/>
                <w:rtl w:val="0"/>
              </w:rPr>
              <w:t xml:space="preserve">WP Start Date </w:t>
            </w:r>
            <w:r w:rsidDel="00000000" w:rsidR="00000000" w:rsidRPr="00000000">
              <w:rPr>
                <w:rtl w:val="0"/>
              </w:rPr>
            </w:r>
          </w:p>
        </w:tc>
        <w:tc>
          <w:tcPr>
            <w:gridSpan w:val="2"/>
            <w:vAlign w:val="center"/>
          </w:tcPr>
          <w:p w:rsidR="00000000" w:rsidDel="00000000" w:rsidP="00000000" w:rsidRDefault="00000000" w:rsidRPr="00000000" w14:paraId="00000032">
            <w:pPr>
              <w:spacing w:after="0" w:line="240" w:lineRule="auto"/>
              <w:ind w:left="0" w:hanging="2"/>
              <w:rPr>
                <w:sz w:val="20"/>
                <w:szCs w:val="20"/>
              </w:rPr>
            </w:pPr>
            <w:r w:rsidDel="00000000" w:rsidR="00000000" w:rsidRPr="00000000">
              <w:rPr>
                <w:sz w:val="20"/>
                <w:szCs w:val="20"/>
                <w:rtl w:val="0"/>
              </w:rPr>
              <w:t xml:space="preserve">15-11-2018</w:t>
            </w:r>
          </w:p>
        </w:tc>
      </w:tr>
      <w:tr>
        <w:trPr>
          <w:cantSplit w:val="0"/>
          <w:trHeight w:val="70" w:hRule="atLeast"/>
          <w:tblHeader w:val="0"/>
        </w:trPr>
        <w:tc>
          <w:tcPr>
            <w:vAlign w:val="center"/>
          </w:tcPr>
          <w:p w:rsidR="00000000" w:rsidDel="00000000" w:rsidP="00000000" w:rsidRDefault="00000000" w:rsidRPr="00000000" w14:paraId="00000034">
            <w:pPr>
              <w:spacing w:after="0" w:line="240" w:lineRule="auto"/>
              <w:ind w:left="0" w:hanging="2"/>
              <w:rPr>
                <w:sz w:val="20"/>
                <w:szCs w:val="20"/>
              </w:rPr>
            </w:pPr>
            <w:r w:rsidDel="00000000" w:rsidR="00000000" w:rsidRPr="00000000">
              <w:rPr>
                <w:b w:val="1"/>
                <w:sz w:val="20"/>
                <w:szCs w:val="20"/>
                <w:rtl w:val="0"/>
              </w:rPr>
              <w:t xml:space="preserve">WP End Date</w:t>
            </w:r>
            <w:r w:rsidDel="00000000" w:rsidR="00000000" w:rsidRPr="00000000">
              <w:rPr>
                <w:rtl w:val="0"/>
              </w:rPr>
            </w:r>
          </w:p>
        </w:tc>
        <w:tc>
          <w:tcPr>
            <w:gridSpan w:val="2"/>
            <w:vAlign w:val="center"/>
          </w:tcPr>
          <w:p w:rsidR="00000000" w:rsidDel="00000000" w:rsidP="00000000" w:rsidRDefault="00000000" w:rsidRPr="00000000" w14:paraId="00000035">
            <w:pPr>
              <w:spacing w:after="0" w:line="240" w:lineRule="auto"/>
              <w:ind w:left="0" w:hanging="2"/>
              <w:rPr>
                <w:sz w:val="20"/>
                <w:szCs w:val="20"/>
              </w:rPr>
            </w:pPr>
            <w:r w:rsidDel="00000000" w:rsidR="00000000" w:rsidRPr="00000000">
              <w:rPr>
                <w:sz w:val="20"/>
                <w:szCs w:val="20"/>
                <w:rtl w:val="0"/>
              </w:rPr>
              <w:t xml:space="preserve">14-12-2019/ T1.7. 20-06-2020</w:t>
            </w:r>
          </w:p>
        </w:tc>
      </w:tr>
    </w:tbl>
    <w:p w:rsidR="00000000" w:rsidDel="00000000" w:rsidP="00000000" w:rsidRDefault="00000000" w:rsidRPr="00000000" w14:paraId="00000037">
      <w:pPr>
        <w:ind w:left="1" w:hanging="3"/>
        <w:rPr>
          <w:sz w:val="28"/>
          <w:szCs w:val="28"/>
        </w:rPr>
      </w:pPr>
      <w:r w:rsidDel="00000000" w:rsidR="00000000" w:rsidRPr="00000000">
        <w:rPr>
          <w:rtl w:val="0"/>
        </w:rPr>
      </w:r>
    </w:p>
    <w:tbl>
      <w:tblPr>
        <w:tblStyle w:val="Table2"/>
        <w:tblW w:w="1017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6"/>
        <w:gridCol w:w="7142"/>
        <w:tblGridChange w:id="0">
          <w:tblGrid>
            <w:gridCol w:w="3036"/>
            <w:gridCol w:w="7142"/>
          </w:tblGrid>
        </w:tblGridChange>
      </w:tblGrid>
      <w:tr>
        <w:trPr>
          <w:cantSplit w:val="0"/>
          <w:trHeight w:val="493" w:hRule="atLeast"/>
          <w:tblHeader w:val="0"/>
        </w:trPr>
        <w:tc>
          <w:tcPr>
            <w:vAlign w:val="center"/>
          </w:tcPr>
          <w:p w:rsidR="00000000" w:rsidDel="00000000" w:rsidP="00000000" w:rsidRDefault="00000000" w:rsidRPr="00000000" w14:paraId="00000038">
            <w:pPr>
              <w:spacing w:after="0" w:line="240" w:lineRule="auto"/>
              <w:ind w:left="0" w:hanging="2"/>
              <w:rPr>
                <w:sz w:val="20"/>
                <w:szCs w:val="20"/>
              </w:rPr>
            </w:pPr>
            <w:r w:rsidDel="00000000" w:rsidR="00000000" w:rsidRPr="00000000">
              <w:rPr>
                <w:b w:val="1"/>
                <w:sz w:val="20"/>
                <w:szCs w:val="20"/>
                <w:rtl w:val="0"/>
              </w:rPr>
              <w:t xml:space="preserve">Related assumptions and risks</w:t>
            </w:r>
            <w:r w:rsidDel="00000000" w:rsidR="00000000" w:rsidRPr="00000000">
              <w:rPr>
                <w:rtl w:val="0"/>
              </w:rPr>
            </w:r>
          </w:p>
        </w:tc>
        <w:tc>
          <w:tcPr>
            <w:vAlign w:val="center"/>
          </w:tcPr>
          <w:p w:rsidR="00000000" w:rsidDel="00000000" w:rsidP="00000000" w:rsidRDefault="00000000" w:rsidRPr="00000000" w14:paraId="00000039">
            <w:pPr>
              <w:ind w:left="0" w:hanging="2"/>
              <w:rPr>
                <w:sz w:val="20"/>
                <w:szCs w:val="20"/>
              </w:rPr>
            </w:pPr>
            <w:r w:rsidDel="00000000" w:rsidR="00000000" w:rsidRPr="00000000">
              <w:rPr>
                <w:sz w:val="20"/>
                <w:szCs w:val="20"/>
                <w:rtl w:val="0"/>
              </w:rPr>
              <w:t xml:space="preserve">In relation to the related project assumptions (Detailed project description page 57 of 127):</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Internal Staff of each HEIs of the partner country cooperates and provides necessary information for understanding needs related to the evaluation of programmes and implementation of credit transfer.</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They also cooperate to evaluate and analyze the healthy urban environment topic in their university courses.</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Students are interested in participating in the surveys. </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Stakeholders have interest to participate in Stakeholder’s opinion meetings.</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Some HEIs can perform their work package activities efficiently and on time. Other HEIs do not completely respect the timeline defined for delivering the activities in work package 1 and they need to be pushed by the lead organization of WP1. </w:t>
            </w:r>
          </w:p>
          <w:p w:rsidR="00000000" w:rsidDel="00000000" w:rsidP="00000000" w:rsidRDefault="00000000" w:rsidRPr="00000000" w14:paraId="0000003F">
            <w:pPr>
              <w:spacing w:after="0" w:line="240" w:lineRule="auto"/>
              <w:ind w:left="0" w:hanging="2"/>
              <w:rPr>
                <w:sz w:val="20"/>
                <w:szCs w:val="20"/>
              </w:rPr>
            </w:pPr>
            <w:r w:rsidDel="00000000" w:rsidR="00000000" w:rsidRPr="00000000">
              <w:rPr>
                <w:rtl w:val="0"/>
              </w:rPr>
            </w:r>
          </w:p>
          <w:p w:rsidR="00000000" w:rsidDel="00000000" w:rsidP="00000000" w:rsidRDefault="00000000" w:rsidRPr="00000000" w14:paraId="00000040">
            <w:pPr>
              <w:spacing w:after="0" w:line="240" w:lineRule="auto"/>
              <w:ind w:left="0" w:hanging="2"/>
              <w:rPr>
                <w:sz w:val="20"/>
                <w:szCs w:val="20"/>
              </w:rPr>
            </w:pPr>
            <w:r w:rsidDel="00000000" w:rsidR="00000000" w:rsidRPr="00000000">
              <w:rPr>
                <w:sz w:val="20"/>
                <w:szCs w:val="20"/>
                <w:rtl w:val="0"/>
              </w:rPr>
              <w:t xml:space="preserve">Were there any risks for the delivery of the workpackage?</w:t>
            </w:r>
          </w:p>
          <w:p w:rsidR="00000000" w:rsidDel="00000000" w:rsidP="00000000" w:rsidRDefault="00000000" w:rsidRPr="00000000" w14:paraId="00000041">
            <w:pPr>
              <w:ind w:left="0" w:hanging="2"/>
              <w:rPr>
                <w:sz w:val="20"/>
                <w:szCs w:val="20"/>
              </w:rPr>
            </w:pPr>
            <w:r w:rsidDel="00000000" w:rsidR="00000000" w:rsidRPr="00000000">
              <w:rPr>
                <w:rtl w:val="0"/>
              </w:rPr>
            </w:r>
          </w:p>
          <w:p w:rsidR="00000000" w:rsidDel="00000000" w:rsidP="00000000" w:rsidRDefault="00000000" w:rsidRPr="00000000" w14:paraId="00000042">
            <w:pPr>
              <w:ind w:left="0" w:hanging="2"/>
              <w:rPr>
                <w:sz w:val="20"/>
                <w:szCs w:val="20"/>
              </w:rPr>
            </w:pPr>
            <w:r w:rsidDel="00000000" w:rsidR="00000000" w:rsidRPr="00000000">
              <w:rPr>
                <w:sz w:val="20"/>
                <w:szCs w:val="20"/>
                <w:rtl w:val="0"/>
              </w:rPr>
              <w:t xml:space="preserve">Yes, there has been the following risk: </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Some partners are not able to fully respect the scheduling of the project activities and there are some administrative obstacles that stand in the way of respecting the project’s Gantt.</w:t>
            </w:r>
          </w:p>
          <w:p w:rsidR="00000000" w:rsidDel="00000000" w:rsidP="00000000" w:rsidRDefault="00000000" w:rsidRPr="00000000" w14:paraId="00000044">
            <w:pPr>
              <w:spacing w:after="0" w:line="240" w:lineRule="auto"/>
              <w:ind w:left="0" w:hanging="2"/>
              <w:rPr>
                <w:sz w:val="20"/>
                <w:szCs w:val="20"/>
              </w:rPr>
            </w:pPr>
            <w:r w:rsidDel="00000000" w:rsidR="00000000" w:rsidRPr="00000000">
              <w:rPr>
                <w:rtl w:val="0"/>
              </w:rPr>
            </w:r>
          </w:p>
          <w:p w:rsidR="00000000" w:rsidDel="00000000" w:rsidP="00000000" w:rsidRDefault="00000000" w:rsidRPr="00000000" w14:paraId="00000045">
            <w:pPr>
              <w:spacing w:after="0" w:line="240" w:lineRule="auto"/>
              <w:ind w:left="0" w:hanging="2"/>
              <w:rPr>
                <w:sz w:val="20"/>
                <w:szCs w:val="20"/>
              </w:rPr>
            </w:pPr>
            <w:r w:rsidDel="00000000" w:rsidR="00000000" w:rsidRPr="00000000">
              <w:rPr>
                <w:sz w:val="20"/>
                <w:szCs w:val="20"/>
                <w:rtl w:val="0"/>
              </w:rPr>
              <w:t xml:space="preserve">If there were risks, how did you encounter them?</w:t>
            </w:r>
          </w:p>
          <w:p w:rsidR="00000000" w:rsidDel="00000000" w:rsidP="00000000" w:rsidRDefault="00000000" w:rsidRPr="00000000" w14:paraId="00000046">
            <w:pPr>
              <w:spacing w:after="0" w:line="240" w:lineRule="auto"/>
              <w:ind w:left="0" w:hanging="2"/>
              <w:rPr>
                <w:sz w:val="20"/>
                <w:szCs w:val="20"/>
              </w:rPr>
            </w:pPr>
            <w:r w:rsidDel="00000000" w:rsidR="00000000" w:rsidRPr="00000000">
              <w:rPr>
                <w:rtl w:val="0"/>
              </w:rPr>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WP1 lead organization sends continuous messages and reminders (via email, phone calls and texts) to fill the work package and task requirements on time.</w:t>
            </w:r>
          </w:p>
          <w:p w:rsidR="00000000" w:rsidDel="00000000" w:rsidP="00000000" w:rsidRDefault="00000000" w:rsidRPr="00000000" w14:paraId="00000048">
            <w:pPr>
              <w:spacing w:after="0" w:line="240" w:lineRule="auto"/>
              <w:ind w:left="0" w:hanging="2"/>
              <w:rPr>
                <w:sz w:val="20"/>
                <w:szCs w:val="20"/>
              </w:rPr>
            </w:pPr>
            <w:r w:rsidDel="00000000" w:rsidR="00000000" w:rsidRPr="00000000">
              <w:rPr>
                <w:rtl w:val="0"/>
              </w:rPr>
            </w:r>
          </w:p>
        </w:tc>
      </w:tr>
      <w:tr>
        <w:trPr>
          <w:cantSplit w:val="0"/>
          <w:trHeight w:val="493" w:hRule="atLeast"/>
          <w:tblHeader w:val="0"/>
        </w:trPr>
        <w:tc>
          <w:tcPr>
            <w:vAlign w:val="center"/>
          </w:tcPr>
          <w:p w:rsidR="00000000" w:rsidDel="00000000" w:rsidP="00000000" w:rsidRDefault="00000000" w:rsidRPr="00000000" w14:paraId="00000049">
            <w:pPr>
              <w:spacing w:after="0" w:line="240" w:lineRule="auto"/>
              <w:ind w:left="0" w:hanging="2"/>
              <w:rPr>
                <w:sz w:val="20"/>
                <w:szCs w:val="20"/>
              </w:rPr>
            </w:pPr>
            <w:r w:rsidDel="00000000" w:rsidR="00000000" w:rsidRPr="00000000">
              <w:rPr>
                <w:b w:val="1"/>
                <w:sz w:val="20"/>
                <w:szCs w:val="20"/>
                <w:rtl w:val="0"/>
              </w:rPr>
              <w:t xml:space="preserve">Description of WP</w:t>
            </w:r>
            <w:r w:rsidDel="00000000" w:rsidR="00000000" w:rsidRPr="00000000">
              <w:rPr>
                <w:rtl w:val="0"/>
              </w:rPr>
            </w:r>
          </w:p>
        </w:tc>
        <w:tc>
          <w:tcPr>
            <w:vAlign w:val="center"/>
          </w:tcPr>
          <w:p w:rsidR="00000000" w:rsidDel="00000000" w:rsidP="00000000" w:rsidRDefault="00000000" w:rsidRPr="00000000" w14:paraId="0000004A">
            <w:pPr>
              <w:ind w:left="0" w:hanging="2"/>
              <w:rPr>
                <w:sz w:val="20"/>
                <w:szCs w:val="20"/>
              </w:rPr>
            </w:pPr>
            <w:r w:rsidDel="00000000" w:rsidR="00000000" w:rsidRPr="00000000">
              <w:rPr>
                <w:sz w:val="20"/>
                <w:szCs w:val="20"/>
                <w:rtl w:val="0"/>
              </w:rPr>
              <w:t xml:space="preserve">Elaboration of a grid, filled by each HEI of the Partner Country with information about the typologies of courses of Architecture and Civil Engineering (course title, length, ECTS, methodology of teaching, marks…etc.) to develop a collaborative approach. </w:t>
            </w:r>
          </w:p>
          <w:p w:rsidR="00000000" w:rsidDel="00000000" w:rsidP="00000000" w:rsidRDefault="00000000" w:rsidRPr="00000000" w14:paraId="0000004B">
            <w:pPr>
              <w:ind w:left="0" w:hanging="2"/>
              <w:rPr>
                <w:sz w:val="20"/>
                <w:szCs w:val="20"/>
              </w:rPr>
            </w:pPr>
            <w:r w:rsidDel="00000000" w:rsidR="00000000" w:rsidRPr="00000000">
              <w:rPr>
                <w:sz w:val="20"/>
                <w:szCs w:val="20"/>
                <w:rtl w:val="0"/>
              </w:rPr>
              <w:t xml:space="preserve">Organization of a seminar to train partner countries and work on credit transfer between programmes. Seminar was held in Sarajevo 13.05.2019-16.05.2019.</w:t>
            </w:r>
          </w:p>
          <w:p w:rsidR="00000000" w:rsidDel="00000000" w:rsidP="00000000" w:rsidRDefault="00000000" w:rsidRPr="00000000" w14:paraId="0000004C">
            <w:pPr>
              <w:ind w:left="0" w:hanging="2"/>
              <w:rPr>
                <w:sz w:val="20"/>
                <w:szCs w:val="20"/>
              </w:rPr>
            </w:pPr>
            <w:r w:rsidDel="00000000" w:rsidR="00000000" w:rsidRPr="00000000">
              <w:rPr>
                <w:sz w:val="20"/>
                <w:szCs w:val="20"/>
                <w:rtl w:val="0"/>
              </w:rPr>
              <w:t xml:space="preserve">Organization of 3 observation visits. UNMO went to AF ZG, UNSA went to UNIROMA1 and UNZE went to UACEG. Visits were held from June till july 2019. and lasts for 5 days each.</w:t>
            </w:r>
          </w:p>
          <w:p w:rsidR="00000000" w:rsidDel="00000000" w:rsidP="00000000" w:rsidRDefault="00000000" w:rsidRPr="00000000" w14:paraId="0000004D">
            <w:pPr>
              <w:ind w:left="0" w:hanging="2"/>
              <w:rPr>
                <w:sz w:val="20"/>
                <w:szCs w:val="20"/>
              </w:rPr>
            </w:pPr>
            <w:r w:rsidDel="00000000" w:rsidR="00000000" w:rsidRPr="00000000">
              <w:rPr>
                <w:sz w:val="20"/>
                <w:szCs w:val="20"/>
                <w:rtl w:val="0"/>
              </w:rPr>
              <w:t xml:space="preserve">AF ZG and UNZE made the comparison of the contents of Partner Country courses focusing on how the topic of Healthy Urban Environment is treated in the current courses.</w:t>
            </w:r>
          </w:p>
          <w:p w:rsidR="00000000" w:rsidDel="00000000" w:rsidP="00000000" w:rsidRDefault="00000000" w:rsidRPr="00000000" w14:paraId="0000004E">
            <w:pPr>
              <w:ind w:left="0" w:hanging="2"/>
              <w:rPr>
                <w:sz w:val="20"/>
                <w:szCs w:val="20"/>
              </w:rPr>
            </w:pPr>
            <w:r w:rsidDel="00000000" w:rsidR="00000000" w:rsidRPr="00000000">
              <w:rPr>
                <w:sz w:val="20"/>
                <w:szCs w:val="20"/>
                <w:rtl w:val="0"/>
              </w:rPr>
              <w:t xml:space="preserve">The members of the consortium prepared a survey to investigate how the students attending the 2 last years of university perceive the topic of Healthy Urban Environment and evaluate the experience they made during the courses they attended.</w:t>
            </w:r>
          </w:p>
          <w:p w:rsidR="00000000" w:rsidDel="00000000" w:rsidP="00000000" w:rsidRDefault="00000000" w:rsidRPr="00000000" w14:paraId="0000004F">
            <w:pPr>
              <w:ind w:left="0" w:hanging="2"/>
              <w:rPr>
                <w:sz w:val="20"/>
                <w:szCs w:val="20"/>
              </w:rPr>
            </w:pPr>
            <w:r w:rsidDel="00000000" w:rsidR="00000000" w:rsidRPr="00000000">
              <w:rPr>
                <w:sz w:val="20"/>
                <w:szCs w:val="20"/>
                <w:rtl w:val="0"/>
              </w:rPr>
              <w:t xml:space="preserve">Organization of the stakeholders meeting in Sarajevo, Zenica and Mostar with local stakeholders. Meeting was held from 19.06.2019 till 21.06.2019.</w:t>
            </w:r>
          </w:p>
        </w:tc>
      </w:tr>
      <w:tr>
        <w:trPr>
          <w:cantSplit w:val="0"/>
          <w:trHeight w:val="493" w:hRule="atLeast"/>
          <w:tblHeader w:val="0"/>
        </w:trPr>
        <w:tc>
          <w:tcPr>
            <w:vAlign w:val="center"/>
          </w:tcPr>
          <w:p w:rsidR="00000000" w:rsidDel="00000000" w:rsidP="00000000" w:rsidRDefault="00000000" w:rsidRPr="00000000" w14:paraId="00000050">
            <w:pPr>
              <w:spacing w:after="0" w:line="240" w:lineRule="auto"/>
              <w:ind w:left="0" w:hanging="2"/>
              <w:rPr>
                <w:sz w:val="20"/>
                <w:szCs w:val="20"/>
              </w:rPr>
            </w:pPr>
            <w:r w:rsidDel="00000000" w:rsidR="00000000" w:rsidRPr="00000000">
              <w:rPr>
                <w:b w:val="1"/>
                <w:sz w:val="20"/>
                <w:szCs w:val="20"/>
                <w:rtl w:val="0"/>
              </w:rPr>
              <w:t xml:space="preserve">Tasks development</w:t>
            </w:r>
            <w:r w:rsidDel="00000000" w:rsidR="00000000" w:rsidRPr="00000000">
              <w:rPr>
                <w:rtl w:val="0"/>
              </w:rPr>
            </w:r>
          </w:p>
        </w:tc>
        <w:tc>
          <w:tcPr>
            <w:vAlign w:val="center"/>
          </w:tcPr>
          <w:p w:rsidR="00000000" w:rsidDel="00000000" w:rsidP="00000000" w:rsidRDefault="00000000" w:rsidRPr="00000000" w14:paraId="00000051">
            <w:pPr>
              <w:ind w:left="0" w:hanging="2"/>
              <w:rPr>
                <w:sz w:val="20"/>
                <w:szCs w:val="20"/>
              </w:rPr>
            </w:pPr>
            <w:r w:rsidDel="00000000" w:rsidR="00000000" w:rsidRPr="00000000">
              <w:rPr>
                <w:sz w:val="20"/>
                <w:szCs w:val="20"/>
                <w:rtl w:val="0"/>
              </w:rPr>
              <w:t xml:space="preserve">Task 1.1: Degree programmes: implementation status and needs for credit transfer: Finished</w:t>
            </w:r>
          </w:p>
          <w:p w:rsidR="00000000" w:rsidDel="00000000" w:rsidP="00000000" w:rsidRDefault="00000000" w:rsidRPr="00000000" w14:paraId="00000052">
            <w:pPr>
              <w:ind w:left="0" w:hanging="2"/>
              <w:rPr>
                <w:sz w:val="20"/>
                <w:szCs w:val="20"/>
              </w:rPr>
            </w:pPr>
            <w:r w:rsidDel="00000000" w:rsidR="00000000" w:rsidRPr="00000000">
              <w:rPr>
                <w:sz w:val="20"/>
                <w:szCs w:val="20"/>
                <w:rtl w:val="0"/>
              </w:rPr>
              <w:t xml:space="preserve">Task 1.2: Training on credit transfer and programmes management: Finished</w:t>
            </w:r>
          </w:p>
          <w:p w:rsidR="00000000" w:rsidDel="00000000" w:rsidP="00000000" w:rsidRDefault="00000000" w:rsidRPr="00000000" w14:paraId="00000053">
            <w:pPr>
              <w:ind w:left="0" w:hanging="2"/>
              <w:rPr>
                <w:sz w:val="20"/>
                <w:szCs w:val="20"/>
              </w:rPr>
            </w:pPr>
            <w:r w:rsidDel="00000000" w:rsidR="00000000" w:rsidRPr="00000000">
              <w:rPr>
                <w:sz w:val="20"/>
                <w:szCs w:val="20"/>
                <w:rtl w:val="0"/>
              </w:rPr>
              <w:t xml:space="preserve">Task 1.3: Observation visits: management of Faculties of Architecture and Civil engineering and their degrees in the framework of internationalization: Finished</w:t>
            </w:r>
          </w:p>
          <w:p w:rsidR="00000000" w:rsidDel="00000000" w:rsidP="00000000" w:rsidRDefault="00000000" w:rsidRPr="00000000" w14:paraId="00000054">
            <w:pPr>
              <w:ind w:left="0" w:hanging="2"/>
              <w:rPr>
                <w:sz w:val="20"/>
                <w:szCs w:val="20"/>
              </w:rPr>
            </w:pPr>
            <w:r w:rsidDel="00000000" w:rsidR="00000000" w:rsidRPr="00000000">
              <w:rPr>
                <w:sz w:val="20"/>
                <w:szCs w:val="20"/>
                <w:rtl w:val="0"/>
              </w:rPr>
              <w:t xml:space="preserve">Task 1.4: Healthy Urban Environment evaluation in the university courses: Fini</w:t>
            </w:r>
            <w:r w:rsidDel="00000000" w:rsidR="00000000" w:rsidRPr="00000000">
              <w:rPr>
                <w:rtl w:val="0"/>
              </w:rPr>
              <w:t xml:space="preserve">shed</w:t>
            </w:r>
            <w:r w:rsidDel="00000000" w:rsidR="00000000" w:rsidRPr="00000000">
              <w:rPr>
                <w:sz w:val="20"/>
                <w:szCs w:val="20"/>
                <w:rtl w:val="0"/>
              </w:rPr>
              <w:t xml:space="preserve"> </w:t>
            </w:r>
          </w:p>
          <w:p w:rsidR="00000000" w:rsidDel="00000000" w:rsidP="00000000" w:rsidRDefault="00000000" w:rsidRPr="00000000" w14:paraId="00000055">
            <w:pPr>
              <w:ind w:left="0" w:hanging="2"/>
              <w:rPr>
                <w:sz w:val="20"/>
                <w:szCs w:val="20"/>
              </w:rPr>
            </w:pPr>
            <w:r w:rsidDel="00000000" w:rsidR="00000000" w:rsidRPr="00000000">
              <w:rPr>
                <w:sz w:val="20"/>
                <w:szCs w:val="20"/>
                <w:rtl w:val="0"/>
              </w:rPr>
              <w:t xml:space="preserve">Task 1.5: Healthy Urban Environment: the students’ awareness: Finished</w:t>
            </w:r>
          </w:p>
          <w:p w:rsidR="00000000" w:rsidDel="00000000" w:rsidP="00000000" w:rsidRDefault="00000000" w:rsidRPr="00000000" w14:paraId="00000056">
            <w:pPr>
              <w:ind w:left="0" w:hanging="2"/>
              <w:rPr>
                <w:sz w:val="20"/>
                <w:szCs w:val="20"/>
              </w:rPr>
            </w:pPr>
            <w:r w:rsidDel="00000000" w:rsidR="00000000" w:rsidRPr="00000000">
              <w:rPr>
                <w:sz w:val="20"/>
                <w:szCs w:val="20"/>
                <w:rtl w:val="0"/>
              </w:rPr>
              <w:t xml:space="preserve">Task 1.6: Healthy Urban Environment: the stakeholders’ opinion: Finished</w:t>
            </w:r>
          </w:p>
          <w:p w:rsidR="00000000" w:rsidDel="00000000" w:rsidP="00000000" w:rsidRDefault="00000000" w:rsidRPr="00000000" w14:paraId="00000057">
            <w:pPr>
              <w:spacing w:after="0" w:line="240" w:lineRule="auto"/>
              <w:ind w:left="0" w:hanging="2"/>
              <w:rPr>
                <w:sz w:val="20"/>
                <w:szCs w:val="20"/>
              </w:rPr>
            </w:pPr>
            <w:r w:rsidDel="00000000" w:rsidR="00000000" w:rsidRPr="00000000">
              <w:rPr>
                <w:sz w:val="20"/>
                <w:szCs w:val="20"/>
                <w:rtl w:val="0"/>
              </w:rPr>
              <w:t xml:space="preserve">Task 1.7: Healthy Urban Environment documents and best practices: </w:t>
            </w:r>
            <w:r w:rsidDel="00000000" w:rsidR="00000000" w:rsidRPr="00000000">
              <w:rPr>
                <w:rtl w:val="0"/>
              </w:rPr>
              <w:t xml:space="preserve">Finished</w:t>
            </w:r>
            <w:r w:rsidDel="00000000" w:rsidR="00000000" w:rsidRPr="00000000">
              <w:rPr>
                <w:rtl w:val="0"/>
              </w:rPr>
            </w:r>
          </w:p>
        </w:tc>
      </w:tr>
      <w:tr>
        <w:trPr>
          <w:cantSplit w:val="0"/>
          <w:trHeight w:val="493" w:hRule="atLeast"/>
          <w:tblHeader w:val="0"/>
        </w:trPr>
        <w:tc>
          <w:tcPr>
            <w:vAlign w:val="center"/>
          </w:tcPr>
          <w:p w:rsidR="00000000" w:rsidDel="00000000" w:rsidP="00000000" w:rsidRDefault="00000000" w:rsidRPr="00000000" w14:paraId="00000058">
            <w:pPr>
              <w:spacing w:after="0" w:line="240" w:lineRule="auto"/>
              <w:ind w:left="0" w:hanging="2"/>
              <w:rPr>
                <w:sz w:val="20"/>
                <w:szCs w:val="20"/>
              </w:rPr>
            </w:pPr>
            <w:r w:rsidDel="00000000" w:rsidR="00000000" w:rsidRPr="00000000">
              <w:rPr>
                <w:b w:val="1"/>
                <w:sz w:val="20"/>
                <w:szCs w:val="20"/>
                <w:rtl w:val="0"/>
              </w:rPr>
              <w:t xml:space="preserve">WP Start Date </w:t>
            </w:r>
            <w:r w:rsidDel="00000000" w:rsidR="00000000" w:rsidRPr="00000000">
              <w:rPr>
                <w:rtl w:val="0"/>
              </w:rPr>
            </w:r>
          </w:p>
        </w:tc>
        <w:tc>
          <w:tcPr>
            <w:vAlign w:val="center"/>
          </w:tcPr>
          <w:p w:rsidR="00000000" w:rsidDel="00000000" w:rsidP="00000000" w:rsidRDefault="00000000" w:rsidRPr="00000000" w14:paraId="00000059">
            <w:pPr>
              <w:spacing w:after="0" w:line="240" w:lineRule="auto"/>
              <w:ind w:left="0" w:hanging="2"/>
              <w:rPr>
                <w:sz w:val="20"/>
                <w:szCs w:val="20"/>
              </w:rPr>
            </w:pPr>
            <w:r w:rsidDel="00000000" w:rsidR="00000000" w:rsidRPr="00000000">
              <w:rPr>
                <w:sz w:val="20"/>
                <w:szCs w:val="20"/>
                <w:rtl w:val="0"/>
              </w:rPr>
              <w:t xml:space="preserve">15-11-2018</w:t>
            </w:r>
          </w:p>
        </w:tc>
      </w:tr>
      <w:tr>
        <w:trPr>
          <w:cantSplit w:val="0"/>
          <w:trHeight w:val="493" w:hRule="atLeast"/>
          <w:tblHeader w:val="0"/>
        </w:trPr>
        <w:tc>
          <w:tcPr>
            <w:vAlign w:val="center"/>
          </w:tcPr>
          <w:p w:rsidR="00000000" w:rsidDel="00000000" w:rsidP="00000000" w:rsidRDefault="00000000" w:rsidRPr="00000000" w14:paraId="0000005A">
            <w:pPr>
              <w:spacing w:after="0" w:line="240" w:lineRule="auto"/>
              <w:ind w:left="0" w:hanging="2"/>
              <w:rPr>
                <w:sz w:val="20"/>
                <w:szCs w:val="20"/>
              </w:rPr>
            </w:pPr>
            <w:r w:rsidDel="00000000" w:rsidR="00000000" w:rsidRPr="00000000">
              <w:rPr>
                <w:b w:val="1"/>
                <w:sz w:val="20"/>
                <w:szCs w:val="20"/>
                <w:rtl w:val="0"/>
              </w:rPr>
              <w:t xml:space="preserve">Description tasks</w:t>
            </w:r>
            <w:r w:rsidDel="00000000" w:rsidR="00000000" w:rsidRPr="00000000">
              <w:rPr>
                <w:rtl w:val="0"/>
              </w:rPr>
            </w:r>
          </w:p>
        </w:tc>
        <w:tc>
          <w:tcPr>
            <w:vAlign w:val="center"/>
          </w:tcPr>
          <w:p w:rsidR="00000000" w:rsidDel="00000000" w:rsidP="00000000" w:rsidRDefault="00000000" w:rsidRPr="00000000" w14:paraId="0000005B">
            <w:pPr>
              <w:ind w:left="0" w:hanging="2"/>
              <w:rPr>
                <w:sz w:val="20"/>
                <w:szCs w:val="20"/>
              </w:rPr>
            </w:pPr>
            <w:r w:rsidDel="00000000" w:rsidR="00000000" w:rsidRPr="00000000">
              <w:rPr>
                <w:sz w:val="20"/>
                <w:szCs w:val="20"/>
                <w:rtl w:val="0"/>
              </w:rPr>
              <w:t xml:space="preserve">Task 1.1: Degree programmes: implementation status and needs for credit transfer: </w:t>
            </w:r>
          </w:p>
          <w:p w:rsidR="00000000" w:rsidDel="00000000" w:rsidP="00000000" w:rsidRDefault="00000000" w:rsidRPr="00000000" w14:paraId="0000005C">
            <w:pPr>
              <w:ind w:left="0" w:hanging="2"/>
              <w:rPr>
                <w:sz w:val="20"/>
                <w:szCs w:val="20"/>
              </w:rPr>
            </w:pPr>
            <w:r w:rsidDel="00000000" w:rsidR="00000000" w:rsidRPr="00000000">
              <w:rPr>
                <w:sz w:val="20"/>
                <w:szCs w:val="20"/>
                <w:rtl w:val="0"/>
              </w:rPr>
              <w:t xml:space="preserve">A grid was elaborated to understand current programmes and the ECTS accreditation system. After the validation by SSC, P4, P5 and P6 filled the grid. AF ZG elaborated the report of programme needs and credit transfer analysis. The report is called ‘‘Faculties of Architecture and Civil Engineering in Bosnia Herzegovina: programme and credit transfer status analysis”. It illustrates the results of the analysis and potential strategies to improve the accreditation system. </w:t>
            </w:r>
          </w:p>
          <w:p w:rsidR="00000000" w:rsidDel="00000000" w:rsidP="00000000" w:rsidRDefault="00000000" w:rsidRPr="00000000" w14:paraId="0000005D">
            <w:pPr>
              <w:ind w:left="0" w:hanging="2"/>
              <w:rPr>
                <w:sz w:val="20"/>
                <w:szCs w:val="20"/>
              </w:rPr>
            </w:pPr>
            <w:r w:rsidDel="00000000" w:rsidR="00000000" w:rsidRPr="00000000">
              <w:rPr>
                <w:sz w:val="20"/>
                <w:szCs w:val="20"/>
                <w:rtl w:val="0"/>
              </w:rPr>
              <w:t xml:space="preserve">The Report was elaborated</w:t>
            </w:r>
          </w:p>
          <w:p w:rsidR="00000000" w:rsidDel="00000000" w:rsidP="00000000" w:rsidRDefault="00000000" w:rsidRPr="00000000" w14:paraId="0000005E">
            <w:pPr>
              <w:ind w:left="0" w:hanging="2"/>
              <w:rPr>
                <w:sz w:val="20"/>
                <w:szCs w:val="20"/>
              </w:rPr>
            </w:pPr>
            <w:r w:rsidDel="00000000" w:rsidR="00000000" w:rsidRPr="00000000">
              <w:rPr>
                <w:sz w:val="20"/>
                <w:szCs w:val="20"/>
                <w:rtl w:val="0"/>
              </w:rPr>
              <w:t xml:space="preserve">Task 1.2: Training on credit transfer and programmes management: </w:t>
            </w:r>
          </w:p>
          <w:p w:rsidR="00000000" w:rsidDel="00000000" w:rsidP="00000000" w:rsidRDefault="00000000" w:rsidRPr="00000000" w14:paraId="0000005F">
            <w:pPr>
              <w:ind w:left="0" w:hanging="2"/>
              <w:rPr>
                <w:sz w:val="20"/>
                <w:szCs w:val="20"/>
              </w:rPr>
            </w:pPr>
            <w:r w:rsidDel="00000000" w:rsidR="00000000" w:rsidRPr="00000000">
              <w:rPr>
                <w:sz w:val="20"/>
                <w:szCs w:val="20"/>
                <w:rtl w:val="0"/>
              </w:rPr>
              <w:t xml:space="preserve">4-day local seminar was organized to increase the competences of professors and administrative staff on the following aspects: Management and organization of degrees, Transfer of credits in EU mobility (Erasmus plus programme), Rules and/or software used to manage the plan of study of the students and Structure and management of the Faculty. 2 professors and 1 staff member from Programme countries and 5 professors and 1 administrative staff member from each Partner University participated on the four-day local seminar held on 13.05.2019 – 16.05.2019 at UNSA in Sarajevo.</w:t>
            </w:r>
          </w:p>
          <w:p w:rsidR="00000000" w:rsidDel="00000000" w:rsidP="00000000" w:rsidRDefault="00000000" w:rsidRPr="00000000" w14:paraId="00000060">
            <w:pPr>
              <w:ind w:left="0" w:hanging="2"/>
              <w:rPr>
                <w:sz w:val="20"/>
                <w:szCs w:val="20"/>
              </w:rPr>
            </w:pPr>
            <w:r w:rsidDel="00000000" w:rsidR="00000000" w:rsidRPr="00000000">
              <w:rPr>
                <w:sz w:val="20"/>
                <w:szCs w:val="20"/>
                <w:rtl w:val="0"/>
              </w:rPr>
              <w:t xml:space="preserve">On the 1st day, The PC Francesca Giofrè initiated the meeting and HURBE Project presentation. Athenium and Faculties (structure of management and degree) , “Programme and credit transfer status analysis”, Bosnia Regulation of current national systems and degrees were presented.</w:t>
            </w:r>
          </w:p>
          <w:p w:rsidR="00000000" w:rsidDel="00000000" w:rsidP="00000000" w:rsidRDefault="00000000" w:rsidRPr="00000000" w14:paraId="00000061">
            <w:pPr>
              <w:ind w:left="0" w:hanging="2"/>
              <w:rPr>
                <w:sz w:val="20"/>
                <w:szCs w:val="20"/>
              </w:rPr>
            </w:pPr>
            <w:r w:rsidDel="00000000" w:rsidR="00000000" w:rsidRPr="00000000">
              <w:rPr>
                <w:sz w:val="20"/>
                <w:szCs w:val="20"/>
                <w:rtl w:val="0"/>
              </w:rPr>
              <w:t xml:space="preserve">On the 2nd day, Innovation in teaching methodologies, Network of the Faculties of Architecture and other networking opportunities, EU directives for regulated profession in architecture: actual and future scenario, System and software for the evaluation of the professor’s work and HURBE: results of student’s survey were presented. Also, The Workshop was held to define the HURBE content according to the Dublin descriptor.</w:t>
            </w:r>
          </w:p>
          <w:p w:rsidR="00000000" w:rsidDel="00000000" w:rsidP="00000000" w:rsidRDefault="00000000" w:rsidRPr="00000000" w14:paraId="00000062">
            <w:pPr>
              <w:ind w:left="0" w:hanging="2"/>
              <w:rPr>
                <w:sz w:val="20"/>
                <w:szCs w:val="20"/>
              </w:rPr>
            </w:pPr>
            <w:r w:rsidDel="00000000" w:rsidR="00000000" w:rsidRPr="00000000">
              <w:rPr>
                <w:sz w:val="20"/>
                <w:szCs w:val="20"/>
                <w:rtl w:val="0"/>
              </w:rPr>
              <w:t xml:space="preserve">On the 3rd day, Definition of the topic of HURBE_ according to its specific interests was discussed. The members worked on a Content of the Course HURBE (8 ECTS) Workshop and discussed how to add the course (modalities and times).</w:t>
            </w:r>
          </w:p>
          <w:p w:rsidR="00000000" w:rsidDel="00000000" w:rsidP="00000000" w:rsidRDefault="00000000" w:rsidRPr="00000000" w14:paraId="00000063">
            <w:pPr>
              <w:ind w:left="0" w:hanging="2"/>
              <w:rPr>
                <w:sz w:val="20"/>
                <w:szCs w:val="20"/>
              </w:rPr>
            </w:pPr>
            <w:r w:rsidDel="00000000" w:rsidR="00000000" w:rsidRPr="00000000">
              <w:rPr>
                <w:sz w:val="20"/>
                <w:szCs w:val="20"/>
                <w:rtl w:val="0"/>
              </w:rPr>
              <w:t xml:space="preserve">On the 4th day, two Workshops were held: Organize and write the curricula of the HURBE (Dublin Descriptors) and organize and write the storyboard of MOOC. Seminar ended </w:t>
            </w:r>
            <w:r w:rsidDel="00000000" w:rsidR="00000000" w:rsidRPr="00000000">
              <w:rPr>
                <w:rtl w:val="0"/>
              </w:rPr>
              <w:t xml:space="preserve">with a round</w:t>
            </w:r>
            <w:r w:rsidDel="00000000" w:rsidR="00000000" w:rsidRPr="00000000">
              <w:rPr>
                <w:sz w:val="20"/>
                <w:szCs w:val="20"/>
                <w:rtl w:val="0"/>
              </w:rPr>
              <w:t xml:space="preserve"> table discussion: Write the rules of the Laboratories and conclusions </w:t>
            </w:r>
            <w:r w:rsidDel="00000000" w:rsidR="00000000" w:rsidRPr="00000000">
              <w:rPr>
                <w:rtl w:val="0"/>
              </w:rPr>
              <w:t xml:space="preserve">of the seminar</w:t>
            </w:r>
            <w:r w:rsidDel="00000000" w:rsidR="00000000" w:rsidRPr="00000000">
              <w:rPr>
                <w:sz w:val="20"/>
                <w:szCs w:val="20"/>
                <w:rtl w:val="0"/>
              </w:rPr>
              <w:t xml:space="preserve">.</w:t>
            </w:r>
          </w:p>
          <w:p w:rsidR="00000000" w:rsidDel="00000000" w:rsidP="00000000" w:rsidRDefault="00000000" w:rsidRPr="00000000" w14:paraId="00000064">
            <w:pPr>
              <w:ind w:left="0" w:hanging="2"/>
              <w:rPr>
                <w:sz w:val="20"/>
                <w:szCs w:val="20"/>
              </w:rPr>
            </w:pPr>
            <w:r w:rsidDel="00000000" w:rsidR="00000000" w:rsidRPr="00000000">
              <w:rPr>
                <w:sz w:val="20"/>
                <w:szCs w:val="20"/>
                <w:rtl w:val="0"/>
              </w:rPr>
              <w:t xml:space="preserve">Task 1.3: Observation visits: management of Faculties of Architecture and Civil engineering and their degrees in the framework of internationalization:</w:t>
            </w:r>
          </w:p>
          <w:p w:rsidR="00000000" w:rsidDel="00000000" w:rsidP="00000000" w:rsidRDefault="00000000" w:rsidRPr="00000000" w14:paraId="00000065">
            <w:pPr>
              <w:ind w:left="0" w:hanging="2"/>
              <w:jc w:val="both"/>
              <w:rPr>
                <w:sz w:val="20"/>
                <w:szCs w:val="20"/>
              </w:rPr>
            </w:pPr>
            <w:r w:rsidDel="00000000" w:rsidR="00000000" w:rsidRPr="00000000">
              <w:rPr>
                <w:sz w:val="20"/>
                <w:szCs w:val="20"/>
                <w:rtl w:val="0"/>
              </w:rPr>
              <w:t xml:space="preserve">N.3 visits are organized to observe the management and organization of degrees in programme countries. During the visits, the partner country visitors saw how credit transfer is applied in EU mobility, and tools that programme universities use to manage the study plan for their students. In addition, they were directly in touch with the structure of Architecture and Construction Faculties.</w:t>
            </w:r>
          </w:p>
          <w:p w:rsidR="00000000" w:rsidDel="00000000" w:rsidP="00000000" w:rsidRDefault="00000000" w:rsidRPr="00000000" w14:paraId="00000066">
            <w:pPr>
              <w:ind w:left="0" w:hanging="2"/>
              <w:jc w:val="both"/>
              <w:rPr>
                <w:sz w:val="20"/>
                <w:szCs w:val="20"/>
              </w:rPr>
            </w:pPr>
            <w:r w:rsidDel="00000000" w:rsidR="00000000" w:rsidRPr="00000000">
              <w:rPr>
                <w:sz w:val="20"/>
                <w:szCs w:val="20"/>
                <w:rtl w:val="0"/>
              </w:rPr>
              <w:t xml:space="preserve">3 professors and 2 administrative staff of UNSA traveled to UNIROMA1 for 5 days.</w:t>
            </w:r>
          </w:p>
          <w:p w:rsidR="00000000" w:rsidDel="00000000" w:rsidP="00000000" w:rsidRDefault="00000000" w:rsidRPr="00000000" w14:paraId="00000067">
            <w:pPr>
              <w:ind w:left="0" w:hanging="2"/>
              <w:jc w:val="both"/>
              <w:rPr>
                <w:sz w:val="20"/>
                <w:szCs w:val="20"/>
              </w:rPr>
            </w:pPr>
            <w:r w:rsidDel="00000000" w:rsidR="00000000" w:rsidRPr="00000000">
              <w:rPr>
                <w:sz w:val="20"/>
                <w:szCs w:val="20"/>
                <w:rtl w:val="0"/>
              </w:rPr>
              <w:t xml:space="preserve">3 professors and 2 administrative staff of UNZE traveled to UACEG for 5 days.</w:t>
            </w:r>
          </w:p>
          <w:p w:rsidR="00000000" w:rsidDel="00000000" w:rsidP="00000000" w:rsidRDefault="00000000" w:rsidRPr="00000000" w14:paraId="00000068">
            <w:pPr>
              <w:ind w:left="0" w:hanging="2"/>
              <w:jc w:val="both"/>
              <w:rPr>
                <w:sz w:val="20"/>
                <w:szCs w:val="20"/>
              </w:rPr>
            </w:pPr>
            <w:r w:rsidDel="00000000" w:rsidR="00000000" w:rsidRPr="00000000">
              <w:rPr>
                <w:sz w:val="20"/>
                <w:szCs w:val="20"/>
                <w:rtl w:val="0"/>
              </w:rPr>
              <w:t xml:space="preserve">3 professors and 2 administrative staff of UNMO traveled to AF ZG for 5 days.</w:t>
            </w:r>
          </w:p>
          <w:p w:rsidR="00000000" w:rsidDel="00000000" w:rsidP="00000000" w:rsidRDefault="00000000" w:rsidRPr="00000000" w14:paraId="00000069">
            <w:pPr>
              <w:ind w:left="0" w:hanging="2"/>
              <w:jc w:val="both"/>
              <w:rPr>
                <w:sz w:val="20"/>
                <w:szCs w:val="20"/>
              </w:rPr>
            </w:pPr>
            <w:r w:rsidDel="00000000" w:rsidR="00000000" w:rsidRPr="00000000">
              <w:rPr>
                <w:sz w:val="20"/>
                <w:szCs w:val="20"/>
                <w:rtl w:val="0"/>
              </w:rPr>
              <w:t xml:space="preserve">The Report was elaborated.</w:t>
            </w:r>
          </w:p>
          <w:p w:rsidR="00000000" w:rsidDel="00000000" w:rsidP="00000000" w:rsidRDefault="00000000" w:rsidRPr="00000000" w14:paraId="0000006A">
            <w:pPr>
              <w:ind w:left="0" w:hanging="2"/>
              <w:rPr>
                <w:sz w:val="20"/>
                <w:szCs w:val="20"/>
              </w:rPr>
            </w:pPr>
            <w:r w:rsidDel="00000000" w:rsidR="00000000" w:rsidRPr="00000000">
              <w:rPr>
                <w:sz w:val="20"/>
                <w:szCs w:val="20"/>
                <w:rtl w:val="0"/>
              </w:rPr>
              <w:t xml:space="preserve">Task 1.4: Healthy Urban Environment evaluation in the university courses: </w:t>
            </w:r>
          </w:p>
          <w:p w:rsidR="00000000" w:rsidDel="00000000" w:rsidP="00000000" w:rsidRDefault="00000000" w:rsidRPr="00000000" w14:paraId="0000006B">
            <w:pPr>
              <w:ind w:left="0" w:hanging="2"/>
              <w:rPr>
                <w:sz w:val="20"/>
                <w:szCs w:val="20"/>
              </w:rPr>
            </w:pPr>
            <w:r w:rsidDel="00000000" w:rsidR="00000000" w:rsidRPr="00000000">
              <w:rPr>
                <w:sz w:val="20"/>
                <w:szCs w:val="20"/>
                <w:rtl w:val="0"/>
              </w:rPr>
              <w:t xml:space="preserve">UNSA, UNZE and UNMO identified the syllabus studies involved in the project on the Urban Healthy Environment theme and good practices in teaching. UNZE in collaboration with AF ZG elaborated the final report: ‘Healthy Urban Environment in Architecture and Civil Engineering: university courses in Bosnia and Herzegovina’.</w:t>
            </w:r>
          </w:p>
          <w:p w:rsidR="00000000" w:rsidDel="00000000" w:rsidP="00000000" w:rsidRDefault="00000000" w:rsidRPr="00000000" w14:paraId="0000006C">
            <w:pPr>
              <w:ind w:left="0" w:hanging="2"/>
              <w:rPr>
                <w:sz w:val="20"/>
                <w:szCs w:val="20"/>
              </w:rPr>
            </w:pPr>
            <w:r w:rsidDel="00000000" w:rsidR="00000000" w:rsidRPr="00000000">
              <w:rPr>
                <w:sz w:val="20"/>
                <w:szCs w:val="20"/>
                <w:rtl w:val="0"/>
              </w:rPr>
              <w:t xml:space="preserve">The report was elaborated.</w:t>
            </w:r>
          </w:p>
          <w:p w:rsidR="00000000" w:rsidDel="00000000" w:rsidP="00000000" w:rsidRDefault="00000000" w:rsidRPr="00000000" w14:paraId="0000006D">
            <w:pPr>
              <w:ind w:left="0" w:hanging="2"/>
              <w:rPr>
                <w:sz w:val="20"/>
                <w:szCs w:val="20"/>
              </w:rPr>
            </w:pPr>
            <w:r w:rsidDel="00000000" w:rsidR="00000000" w:rsidRPr="00000000">
              <w:rPr>
                <w:sz w:val="20"/>
                <w:szCs w:val="20"/>
                <w:rtl w:val="0"/>
              </w:rPr>
              <w:t xml:space="preserve">Task 1.5: Healthy Urban Environment: the students’ awareness:</w:t>
            </w:r>
          </w:p>
          <w:p w:rsidR="00000000" w:rsidDel="00000000" w:rsidP="00000000" w:rsidRDefault="00000000" w:rsidRPr="00000000" w14:paraId="0000006E">
            <w:pPr>
              <w:ind w:left="0" w:hanging="2"/>
              <w:rPr>
                <w:sz w:val="20"/>
                <w:szCs w:val="20"/>
              </w:rPr>
            </w:pPr>
            <w:r w:rsidDel="00000000" w:rsidR="00000000" w:rsidRPr="00000000">
              <w:rPr>
                <w:sz w:val="20"/>
                <w:szCs w:val="20"/>
                <w:rtl w:val="0"/>
              </w:rPr>
              <w:t xml:space="preserve">The members of the consortium prepared a survey to investigate how the students attending the 2 last years of university perceive the topic of Healthy Urban Environment and evaluate the experience they made during the courses they attended. 216 students (53 students from UNMO, 97 from UNSA and 66 from UNZE) filled the grid. UNMO, UNSA and UNZE presented the results during the Credit transfer meeting in Sarajevo. </w:t>
            </w:r>
          </w:p>
          <w:p w:rsidR="00000000" w:rsidDel="00000000" w:rsidP="00000000" w:rsidRDefault="00000000" w:rsidRPr="00000000" w14:paraId="0000006F">
            <w:pPr>
              <w:ind w:left="0" w:hanging="2"/>
              <w:rPr>
                <w:sz w:val="20"/>
                <w:szCs w:val="20"/>
              </w:rPr>
            </w:pPr>
            <w:r w:rsidDel="00000000" w:rsidR="00000000" w:rsidRPr="00000000">
              <w:rPr>
                <w:sz w:val="20"/>
                <w:szCs w:val="20"/>
                <w:rtl w:val="0"/>
              </w:rPr>
              <w:t xml:space="preserve">The Report was elaborated.</w:t>
            </w:r>
          </w:p>
          <w:p w:rsidR="00000000" w:rsidDel="00000000" w:rsidP="00000000" w:rsidRDefault="00000000" w:rsidRPr="00000000" w14:paraId="00000070">
            <w:pPr>
              <w:ind w:left="0" w:hanging="2"/>
              <w:rPr>
                <w:sz w:val="20"/>
                <w:szCs w:val="20"/>
              </w:rPr>
            </w:pPr>
            <w:r w:rsidDel="00000000" w:rsidR="00000000" w:rsidRPr="00000000">
              <w:rPr>
                <w:sz w:val="20"/>
                <w:szCs w:val="20"/>
                <w:rtl w:val="0"/>
              </w:rPr>
              <w:t xml:space="preserve">Task 1.6: Healthy Urban Environment: the stakeholders’ opinion:</w:t>
            </w:r>
          </w:p>
          <w:p w:rsidR="00000000" w:rsidDel="00000000" w:rsidP="00000000" w:rsidRDefault="00000000" w:rsidRPr="00000000" w14:paraId="00000071">
            <w:pPr>
              <w:spacing w:after="0" w:line="276" w:lineRule="auto"/>
              <w:ind w:left="0" w:hanging="2"/>
              <w:jc w:val="both"/>
              <w:rPr>
                <w:sz w:val="20"/>
                <w:szCs w:val="20"/>
              </w:rPr>
            </w:pPr>
            <w:r w:rsidDel="00000000" w:rsidR="00000000" w:rsidRPr="00000000">
              <w:rPr>
                <w:sz w:val="20"/>
                <w:szCs w:val="20"/>
                <w:rtl w:val="0"/>
              </w:rPr>
              <w:t xml:space="preserve">The meeting outline and the potential list of stakeholders was prepared at the Credit transfer meeting in Sarajevo, 30.05.2019. To make sure that more stakeholders attend it, due to location of their business, the first project proposal of having one three-day meeting in Sarajevo changed to three meetings in three different cities: Sarajevo (19.6.2019), Zenica (20.6.2019) and Mostar (21.6.2019). </w:t>
            </w:r>
          </w:p>
          <w:p w:rsidR="00000000" w:rsidDel="00000000" w:rsidP="00000000" w:rsidRDefault="00000000" w:rsidRPr="00000000" w14:paraId="00000072">
            <w:pPr>
              <w:spacing w:after="0" w:line="276" w:lineRule="auto"/>
              <w:ind w:left="0" w:hanging="2"/>
              <w:jc w:val="both"/>
              <w:rPr>
                <w:sz w:val="20"/>
                <w:szCs w:val="20"/>
              </w:rPr>
            </w:pPr>
            <w:r w:rsidDel="00000000" w:rsidR="00000000" w:rsidRPr="00000000">
              <w:rPr>
                <w:sz w:val="20"/>
                <w:szCs w:val="20"/>
                <w:rtl w:val="0"/>
              </w:rPr>
              <w:t xml:space="preserve">An on-line survey was prepared in advance, agreed between the partners and translated to Bosnian language. Invitation materials were prepared by project partner University of Mostar.</w:t>
            </w:r>
          </w:p>
          <w:p w:rsidR="00000000" w:rsidDel="00000000" w:rsidP="00000000" w:rsidRDefault="00000000" w:rsidRPr="00000000" w14:paraId="00000073">
            <w:pPr>
              <w:spacing w:after="0" w:line="276" w:lineRule="auto"/>
              <w:ind w:left="0" w:hanging="2"/>
              <w:jc w:val="both"/>
              <w:rPr>
                <w:sz w:val="20"/>
                <w:szCs w:val="20"/>
              </w:rPr>
            </w:pPr>
            <w:r w:rsidDel="00000000" w:rsidR="00000000" w:rsidRPr="00000000">
              <w:rPr>
                <w:sz w:val="20"/>
                <w:szCs w:val="20"/>
                <w:rtl w:val="0"/>
              </w:rPr>
              <w:t xml:space="preserve">Faculty of Architecture, University of Sarajevo sent an invitation to nearly 50 interested parties (listed in appendix).</w:t>
            </w:r>
          </w:p>
          <w:p w:rsidR="00000000" w:rsidDel="00000000" w:rsidP="00000000" w:rsidRDefault="00000000" w:rsidRPr="00000000" w14:paraId="00000074">
            <w:pPr>
              <w:spacing w:after="0" w:line="276" w:lineRule="auto"/>
              <w:ind w:left="0" w:hanging="2"/>
              <w:rPr>
                <w:sz w:val="20"/>
                <w:szCs w:val="20"/>
              </w:rPr>
            </w:pPr>
            <w:r w:rsidDel="00000000" w:rsidR="00000000" w:rsidRPr="00000000">
              <w:rPr>
                <w:sz w:val="20"/>
                <w:szCs w:val="20"/>
                <w:rtl w:val="0"/>
              </w:rPr>
              <w:t xml:space="preserve">The official invitation letter included relevant information on the Hurbe project. All the invitations were sent by emails, but some of the stakeholders were also called by phones or invited by official invitation. Some of the invited parties responded that they could not attend due to earlier appointments. </w:t>
            </w:r>
          </w:p>
          <w:p w:rsidR="00000000" w:rsidDel="00000000" w:rsidP="00000000" w:rsidRDefault="00000000" w:rsidRPr="00000000" w14:paraId="00000075">
            <w:pPr>
              <w:spacing w:after="0" w:line="276" w:lineRule="auto"/>
              <w:ind w:left="0" w:hanging="2"/>
              <w:rPr>
                <w:sz w:val="20"/>
                <w:szCs w:val="20"/>
              </w:rPr>
            </w:pPr>
            <w:r w:rsidDel="00000000" w:rsidR="00000000" w:rsidRPr="00000000">
              <w:rPr>
                <w:rtl w:val="0"/>
              </w:rPr>
            </w:r>
          </w:p>
          <w:p w:rsidR="00000000" w:rsidDel="00000000" w:rsidP="00000000" w:rsidRDefault="00000000" w:rsidRPr="00000000" w14:paraId="00000076">
            <w:pPr>
              <w:spacing w:after="0" w:line="276" w:lineRule="auto"/>
              <w:ind w:left="0" w:hanging="2"/>
              <w:rPr>
                <w:sz w:val="20"/>
                <w:szCs w:val="20"/>
              </w:rPr>
            </w:pPr>
            <w:r w:rsidDel="00000000" w:rsidR="00000000" w:rsidRPr="00000000">
              <w:rPr>
                <w:sz w:val="20"/>
                <w:szCs w:val="20"/>
                <w:rtl w:val="0"/>
              </w:rPr>
              <w:t xml:space="preserve">The Report was elaborated.</w:t>
            </w:r>
          </w:p>
          <w:p w:rsidR="00000000" w:rsidDel="00000000" w:rsidP="00000000" w:rsidRDefault="00000000" w:rsidRPr="00000000" w14:paraId="00000077">
            <w:pPr>
              <w:spacing w:after="0" w:line="276" w:lineRule="auto"/>
              <w:ind w:left="0" w:hanging="2"/>
              <w:rPr>
                <w:sz w:val="20"/>
                <w:szCs w:val="20"/>
              </w:rPr>
            </w:pPr>
            <w:r w:rsidDel="00000000" w:rsidR="00000000" w:rsidRPr="00000000">
              <w:rPr>
                <w:rtl w:val="0"/>
              </w:rPr>
            </w:r>
          </w:p>
          <w:p w:rsidR="00000000" w:rsidDel="00000000" w:rsidP="00000000" w:rsidRDefault="00000000" w:rsidRPr="00000000" w14:paraId="00000078">
            <w:pPr>
              <w:spacing w:after="0" w:line="276" w:lineRule="auto"/>
              <w:ind w:left="0" w:hanging="2"/>
              <w:rPr>
                <w:sz w:val="20"/>
                <w:szCs w:val="20"/>
              </w:rPr>
            </w:pPr>
            <w:r w:rsidDel="00000000" w:rsidR="00000000" w:rsidRPr="00000000">
              <w:rPr>
                <w:sz w:val="20"/>
                <w:szCs w:val="20"/>
                <w:rtl w:val="0"/>
              </w:rPr>
              <w:t xml:space="preserve">Task 1.7: Healthy Urban Environment documents and best practices</w:t>
            </w:r>
          </w:p>
          <w:p w:rsidR="00000000" w:rsidDel="00000000" w:rsidP="00000000" w:rsidRDefault="00000000" w:rsidRPr="00000000" w14:paraId="00000079">
            <w:pPr>
              <w:spacing w:after="0" w:line="276" w:lineRule="auto"/>
              <w:ind w:left="0" w:hanging="2"/>
              <w:rPr>
                <w:sz w:val="20"/>
                <w:szCs w:val="20"/>
              </w:rPr>
            </w:pPr>
            <w:r w:rsidDel="00000000" w:rsidR="00000000" w:rsidRPr="00000000">
              <w:rPr>
                <w:rtl w:val="0"/>
              </w:rPr>
            </w:r>
          </w:p>
          <w:p w:rsidR="00000000" w:rsidDel="00000000" w:rsidP="00000000" w:rsidRDefault="00000000" w:rsidRPr="00000000" w14:paraId="0000007A">
            <w:pPr>
              <w:ind w:left="0" w:hanging="2"/>
              <w:rPr>
                <w:sz w:val="20"/>
                <w:szCs w:val="20"/>
              </w:rPr>
            </w:pPr>
            <w:r w:rsidDel="00000000" w:rsidR="00000000" w:rsidRPr="00000000">
              <w:rPr>
                <w:sz w:val="20"/>
                <w:szCs w:val="20"/>
                <w:rtl w:val="0"/>
              </w:rPr>
              <w:t xml:space="preserve">AF ZG and UNZE set up a guideline that indicates how to catalogue keywords, projects, type of documents, official data, governmental reports…etc. The guideline is set up to collect documents, literature, EU and local legislation, and best practices of the Healthy Urban Environment topic. </w:t>
            </w:r>
          </w:p>
          <w:p w:rsidR="00000000" w:rsidDel="00000000" w:rsidP="00000000" w:rsidRDefault="00000000" w:rsidRPr="00000000" w14:paraId="0000007B">
            <w:pPr>
              <w:ind w:left="0" w:hanging="2"/>
              <w:rPr>
                <w:sz w:val="20"/>
                <w:szCs w:val="20"/>
              </w:rPr>
            </w:pPr>
            <w:r w:rsidDel="00000000" w:rsidR="00000000" w:rsidRPr="00000000">
              <w:rPr>
                <w:sz w:val="20"/>
                <w:szCs w:val="20"/>
                <w:rtl w:val="0"/>
              </w:rPr>
              <w:t xml:space="preserve">These documents were revised by the SSC.</w:t>
            </w:r>
          </w:p>
          <w:p w:rsidR="00000000" w:rsidDel="00000000" w:rsidP="00000000" w:rsidRDefault="00000000" w:rsidRPr="00000000" w14:paraId="0000007C">
            <w:pPr>
              <w:ind w:left="0" w:hanging="2"/>
              <w:rPr>
                <w:sz w:val="20"/>
                <w:szCs w:val="20"/>
              </w:rPr>
            </w:pPr>
            <w:r w:rsidDel="00000000" w:rsidR="00000000" w:rsidRPr="00000000">
              <w:rPr>
                <w:sz w:val="20"/>
                <w:szCs w:val="20"/>
                <w:rtl w:val="0"/>
              </w:rPr>
              <w:t xml:space="preserve">The guidelines were elaborated.</w:t>
            </w:r>
          </w:p>
        </w:tc>
      </w:tr>
      <w:tr>
        <w:trPr>
          <w:cantSplit w:val="0"/>
          <w:trHeight w:val="493" w:hRule="atLeast"/>
          <w:tblHeader w:val="0"/>
        </w:trPr>
        <w:tc>
          <w:tcPr>
            <w:vAlign w:val="center"/>
          </w:tcPr>
          <w:p w:rsidR="00000000" w:rsidDel="00000000" w:rsidP="00000000" w:rsidRDefault="00000000" w:rsidRPr="00000000" w14:paraId="0000007D">
            <w:pPr>
              <w:spacing w:after="0" w:line="240" w:lineRule="auto"/>
              <w:ind w:left="0" w:hanging="2"/>
              <w:rPr>
                <w:sz w:val="20"/>
                <w:szCs w:val="20"/>
              </w:rPr>
            </w:pPr>
            <w:r w:rsidDel="00000000" w:rsidR="00000000" w:rsidRPr="00000000">
              <w:rPr>
                <w:b w:val="1"/>
                <w:sz w:val="20"/>
                <w:szCs w:val="20"/>
                <w:rtl w:val="0"/>
              </w:rPr>
              <w:t xml:space="preserve">Outputs and Outcomes</w:t>
            </w:r>
            <w:r w:rsidDel="00000000" w:rsidR="00000000" w:rsidRPr="00000000">
              <w:rPr>
                <w:rtl w:val="0"/>
              </w:rPr>
            </w:r>
          </w:p>
        </w:tc>
        <w:tc>
          <w:tcPr>
            <w:vAlign w:val="center"/>
          </w:tcPr>
          <w:p w:rsidR="00000000" w:rsidDel="00000000" w:rsidP="00000000" w:rsidRDefault="00000000" w:rsidRPr="00000000" w14:paraId="0000007E">
            <w:pPr>
              <w:spacing w:after="0" w:line="240" w:lineRule="auto"/>
              <w:ind w:left="0" w:hanging="2"/>
              <w:rPr>
                <w:sz w:val="20"/>
                <w:szCs w:val="20"/>
              </w:rPr>
            </w:pPr>
            <w:r w:rsidDel="00000000" w:rsidR="00000000" w:rsidRPr="00000000">
              <w:rPr>
                <w:sz w:val="20"/>
                <w:szCs w:val="20"/>
                <w:rtl w:val="0"/>
              </w:rPr>
              <w:t xml:space="preserve">T1.1: Report</w:t>
            </w:r>
          </w:p>
          <w:p w:rsidR="00000000" w:rsidDel="00000000" w:rsidP="00000000" w:rsidRDefault="00000000" w:rsidRPr="00000000" w14:paraId="0000007F">
            <w:pPr>
              <w:spacing w:after="0" w:line="240" w:lineRule="auto"/>
              <w:ind w:left="0" w:hanging="2"/>
              <w:rPr>
                <w:sz w:val="20"/>
                <w:szCs w:val="20"/>
              </w:rPr>
            </w:pPr>
            <w:r w:rsidDel="00000000" w:rsidR="00000000" w:rsidRPr="00000000">
              <w:rPr>
                <w:sz w:val="20"/>
                <w:szCs w:val="20"/>
                <w:rtl w:val="0"/>
              </w:rPr>
              <w:t xml:space="preserve">T1.2: Credit transfer meeting</w:t>
            </w:r>
          </w:p>
          <w:p w:rsidR="00000000" w:rsidDel="00000000" w:rsidP="00000000" w:rsidRDefault="00000000" w:rsidRPr="00000000" w14:paraId="00000080">
            <w:pPr>
              <w:spacing w:after="0" w:line="240" w:lineRule="auto"/>
              <w:ind w:left="0" w:hanging="2"/>
              <w:rPr>
                <w:sz w:val="20"/>
                <w:szCs w:val="20"/>
              </w:rPr>
            </w:pPr>
            <w:r w:rsidDel="00000000" w:rsidR="00000000" w:rsidRPr="00000000">
              <w:rPr>
                <w:sz w:val="20"/>
                <w:szCs w:val="20"/>
                <w:rtl w:val="0"/>
              </w:rPr>
              <w:t xml:space="preserve">T1.3: Observation visit, Report</w:t>
            </w:r>
          </w:p>
          <w:p w:rsidR="00000000" w:rsidDel="00000000" w:rsidP="00000000" w:rsidRDefault="00000000" w:rsidRPr="00000000" w14:paraId="00000081">
            <w:pPr>
              <w:spacing w:after="0" w:line="240" w:lineRule="auto"/>
              <w:ind w:left="0" w:hanging="2"/>
              <w:rPr>
                <w:sz w:val="20"/>
                <w:szCs w:val="20"/>
              </w:rPr>
            </w:pPr>
            <w:r w:rsidDel="00000000" w:rsidR="00000000" w:rsidRPr="00000000">
              <w:rPr>
                <w:sz w:val="20"/>
                <w:szCs w:val="20"/>
                <w:rtl w:val="0"/>
              </w:rPr>
              <w:t xml:space="preserve">T1.4: Report</w:t>
            </w:r>
          </w:p>
          <w:p w:rsidR="00000000" w:rsidDel="00000000" w:rsidP="00000000" w:rsidRDefault="00000000" w:rsidRPr="00000000" w14:paraId="00000082">
            <w:pPr>
              <w:spacing w:after="0" w:line="240" w:lineRule="auto"/>
              <w:ind w:left="0" w:hanging="2"/>
              <w:rPr>
                <w:sz w:val="20"/>
                <w:szCs w:val="20"/>
              </w:rPr>
            </w:pPr>
            <w:r w:rsidDel="00000000" w:rsidR="00000000" w:rsidRPr="00000000">
              <w:rPr>
                <w:sz w:val="20"/>
                <w:szCs w:val="20"/>
                <w:rtl w:val="0"/>
              </w:rPr>
              <w:t xml:space="preserve">T1.5: Report</w:t>
            </w:r>
          </w:p>
          <w:p w:rsidR="00000000" w:rsidDel="00000000" w:rsidP="00000000" w:rsidRDefault="00000000" w:rsidRPr="00000000" w14:paraId="00000083">
            <w:pPr>
              <w:spacing w:after="0" w:line="240" w:lineRule="auto"/>
              <w:ind w:left="0" w:hanging="2"/>
              <w:rPr>
                <w:sz w:val="20"/>
                <w:szCs w:val="20"/>
              </w:rPr>
            </w:pPr>
            <w:r w:rsidDel="00000000" w:rsidR="00000000" w:rsidRPr="00000000">
              <w:rPr>
                <w:sz w:val="20"/>
                <w:szCs w:val="20"/>
                <w:rtl w:val="0"/>
              </w:rPr>
              <w:t xml:space="preserve">T1.6: Stakeholder’s opinion meeting, Report </w:t>
            </w:r>
          </w:p>
          <w:p w:rsidR="00000000" w:rsidDel="00000000" w:rsidP="00000000" w:rsidRDefault="00000000" w:rsidRPr="00000000" w14:paraId="00000084">
            <w:pPr>
              <w:spacing w:after="0" w:line="240" w:lineRule="auto"/>
              <w:ind w:left="0" w:hanging="2"/>
              <w:rPr>
                <w:sz w:val="20"/>
                <w:szCs w:val="20"/>
              </w:rPr>
            </w:pPr>
            <w:r w:rsidDel="00000000" w:rsidR="00000000" w:rsidRPr="00000000">
              <w:rPr>
                <w:sz w:val="20"/>
                <w:szCs w:val="20"/>
                <w:rtl w:val="0"/>
              </w:rPr>
              <w:t xml:space="preserve">T1.7: Teaching, learning and training material/guideline</w:t>
            </w:r>
          </w:p>
        </w:tc>
      </w:tr>
      <w:tr>
        <w:trPr>
          <w:cantSplit w:val="0"/>
          <w:trHeight w:val="493" w:hRule="atLeast"/>
          <w:tblHeader w:val="0"/>
        </w:trPr>
        <w:tc>
          <w:tcPr>
            <w:vAlign w:val="center"/>
          </w:tcPr>
          <w:p w:rsidR="00000000" w:rsidDel="00000000" w:rsidP="00000000" w:rsidRDefault="00000000" w:rsidRPr="00000000" w14:paraId="00000085">
            <w:pPr>
              <w:spacing w:after="0" w:line="240" w:lineRule="auto"/>
              <w:ind w:left="0" w:hanging="2"/>
              <w:rPr>
                <w:sz w:val="20"/>
                <w:szCs w:val="20"/>
              </w:rPr>
            </w:pPr>
            <w:r w:rsidDel="00000000" w:rsidR="00000000" w:rsidRPr="00000000">
              <w:rPr>
                <w:b w:val="1"/>
                <w:sz w:val="20"/>
                <w:szCs w:val="20"/>
                <w:rtl w:val="0"/>
              </w:rPr>
              <w:t xml:space="preserve">Indicators of progress</w:t>
            </w:r>
            <w:r w:rsidDel="00000000" w:rsidR="00000000" w:rsidRPr="00000000">
              <w:rPr>
                <w:rtl w:val="0"/>
              </w:rPr>
            </w:r>
          </w:p>
        </w:tc>
        <w:tc>
          <w:tcPr>
            <w:vAlign w:val="center"/>
          </w:tcPr>
          <w:p w:rsidR="00000000" w:rsidDel="00000000" w:rsidP="00000000" w:rsidRDefault="00000000" w:rsidRPr="00000000" w14:paraId="00000086">
            <w:pPr>
              <w:spacing w:after="0" w:line="240" w:lineRule="auto"/>
              <w:ind w:left="0" w:hanging="2"/>
              <w:rPr>
                <w:sz w:val="20"/>
                <w:szCs w:val="20"/>
              </w:rPr>
            </w:pPr>
            <w:r w:rsidDel="00000000" w:rsidR="00000000" w:rsidRPr="00000000">
              <w:rPr>
                <w:sz w:val="20"/>
                <w:szCs w:val="20"/>
                <w:rtl w:val="0"/>
              </w:rPr>
              <w:t xml:space="preserve">T1.1: Report was elaborated</w:t>
            </w:r>
          </w:p>
          <w:p w:rsidR="00000000" w:rsidDel="00000000" w:rsidP="00000000" w:rsidRDefault="00000000" w:rsidRPr="00000000" w14:paraId="00000087">
            <w:pPr>
              <w:spacing w:after="0" w:line="240" w:lineRule="auto"/>
              <w:ind w:left="0" w:hanging="2"/>
              <w:rPr>
                <w:sz w:val="20"/>
                <w:szCs w:val="20"/>
              </w:rPr>
            </w:pPr>
            <w:r w:rsidDel="00000000" w:rsidR="00000000" w:rsidRPr="00000000">
              <w:rPr>
                <w:sz w:val="20"/>
                <w:szCs w:val="20"/>
                <w:rtl w:val="0"/>
              </w:rPr>
              <w:t xml:space="preserve">T1.2: Credit transfer meeting was held</w:t>
            </w:r>
          </w:p>
          <w:p w:rsidR="00000000" w:rsidDel="00000000" w:rsidP="00000000" w:rsidRDefault="00000000" w:rsidRPr="00000000" w14:paraId="00000088">
            <w:pPr>
              <w:spacing w:after="0" w:line="240" w:lineRule="auto"/>
              <w:ind w:left="0" w:hanging="2"/>
              <w:rPr>
                <w:sz w:val="20"/>
                <w:szCs w:val="20"/>
              </w:rPr>
            </w:pPr>
            <w:r w:rsidDel="00000000" w:rsidR="00000000" w:rsidRPr="00000000">
              <w:rPr>
                <w:sz w:val="20"/>
                <w:szCs w:val="20"/>
                <w:rtl w:val="0"/>
              </w:rPr>
              <w:t xml:space="preserve">T1.3: Observation visits were held, Report was elaborated</w:t>
            </w:r>
          </w:p>
          <w:p w:rsidR="00000000" w:rsidDel="00000000" w:rsidP="00000000" w:rsidRDefault="00000000" w:rsidRPr="00000000" w14:paraId="00000089">
            <w:pPr>
              <w:spacing w:after="0" w:line="240" w:lineRule="auto"/>
              <w:ind w:left="0" w:hanging="2"/>
              <w:rPr>
                <w:sz w:val="20"/>
                <w:szCs w:val="20"/>
              </w:rPr>
            </w:pPr>
            <w:r w:rsidDel="00000000" w:rsidR="00000000" w:rsidRPr="00000000">
              <w:rPr>
                <w:sz w:val="20"/>
                <w:szCs w:val="20"/>
                <w:rtl w:val="0"/>
              </w:rPr>
              <w:t xml:space="preserve">T1.4: Report was elaborated</w:t>
            </w:r>
          </w:p>
          <w:p w:rsidR="00000000" w:rsidDel="00000000" w:rsidP="00000000" w:rsidRDefault="00000000" w:rsidRPr="00000000" w14:paraId="0000008A">
            <w:pPr>
              <w:spacing w:after="0" w:line="240" w:lineRule="auto"/>
              <w:ind w:left="0" w:hanging="2"/>
              <w:rPr>
                <w:sz w:val="20"/>
                <w:szCs w:val="20"/>
              </w:rPr>
            </w:pPr>
            <w:r w:rsidDel="00000000" w:rsidR="00000000" w:rsidRPr="00000000">
              <w:rPr>
                <w:sz w:val="20"/>
                <w:szCs w:val="20"/>
                <w:rtl w:val="0"/>
              </w:rPr>
              <w:t xml:space="preserve">T1.5: Report was elaborated</w:t>
            </w:r>
          </w:p>
          <w:p w:rsidR="00000000" w:rsidDel="00000000" w:rsidP="00000000" w:rsidRDefault="00000000" w:rsidRPr="00000000" w14:paraId="0000008B">
            <w:pPr>
              <w:spacing w:after="0" w:line="240" w:lineRule="auto"/>
              <w:ind w:left="0" w:hanging="2"/>
              <w:rPr>
                <w:sz w:val="20"/>
                <w:szCs w:val="20"/>
              </w:rPr>
            </w:pPr>
            <w:r w:rsidDel="00000000" w:rsidR="00000000" w:rsidRPr="00000000">
              <w:rPr>
                <w:sz w:val="20"/>
                <w:szCs w:val="20"/>
                <w:rtl w:val="0"/>
              </w:rPr>
              <w:t xml:space="preserve">T1.6: Stakeholder’s opinion meeting was held, Report was elaborated</w:t>
            </w:r>
          </w:p>
          <w:p w:rsidR="00000000" w:rsidDel="00000000" w:rsidP="00000000" w:rsidRDefault="00000000" w:rsidRPr="00000000" w14:paraId="0000008C">
            <w:pPr>
              <w:spacing w:after="0" w:line="240" w:lineRule="auto"/>
              <w:ind w:left="0" w:hanging="2"/>
              <w:rPr>
                <w:sz w:val="20"/>
                <w:szCs w:val="20"/>
              </w:rPr>
            </w:pPr>
            <w:r w:rsidDel="00000000" w:rsidR="00000000" w:rsidRPr="00000000">
              <w:rPr>
                <w:sz w:val="20"/>
                <w:szCs w:val="20"/>
                <w:rtl w:val="0"/>
              </w:rPr>
              <w:t xml:space="preserve">T1.7: The guidelines were elaborated</w:t>
            </w:r>
          </w:p>
        </w:tc>
      </w:tr>
      <w:tr>
        <w:trPr>
          <w:cantSplit w:val="0"/>
          <w:trHeight w:val="493" w:hRule="atLeast"/>
          <w:tblHeader w:val="0"/>
        </w:trPr>
        <w:tc>
          <w:tcPr>
            <w:vAlign w:val="center"/>
          </w:tcPr>
          <w:p w:rsidR="00000000" w:rsidDel="00000000" w:rsidP="00000000" w:rsidRDefault="00000000" w:rsidRPr="00000000" w14:paraId="0000008D">
            <w:pPr>
              <w:spacing w:after="0" w:line="240" w:lineRule="auto"/>
              <w:ind w:left="0" w:hanging="2"/>
              <w:rPr>
                <w:sz w:val="20"/>
                <w:szCs w:val="20"/>
              </w:rPr>
            </w:pPr>
            <w:r w:rsidDel="00000000" w:rsidR="00000000" w:rsidRPr="00000000">
              <w:rPr>
                <w:b w:val="1"/>
                <w:sz w:val="20"/>
                <w:szCs w:val="20"/>
                <w:rtl w:val="0"/>
              </w:rPr>
              <w:t xml:space="preserve">How were indicators of progress measured?</w:t>
            </w:r>
            <w:r w:rsidDel="00000000" w:rsidR="00000000" w:rsidRPr="00000000">
              <w:rPr>
                <w:rtl w:val="0"/>
              </w:rPr>
            </w:r>
          </w:p>
        </w:tc>
        <w:tc>
          <w:tcPr>
            <w:vAlign w:val="center"/>
          </w:tcPr>
          <w:p w:rsidR="00000000" w:rsidDel="00000000" w:rsidP="00000000" w:rsidRDefault="00000000" w:rsidRPr="00000000" w14:paraId="0000008E">
            <w:pPr>
              <w:spacing w:after="0" w:line="240" w:lineRule="auto"/>
              <w:ind w:left="0" w:hanging="2"/>
              <w:rPr>
                <w:sz w:val="20"/>
                <w:szCs w:val="20"/>
              </w:rPr>
            </w:pPr>
            <w:r w:rsidDel="00000000" w:rsidR="00000000" w:rsidRPr="00000000">
              <w:rPr>
                <w:sz w:val="20"/>
                <w:szCs w:val="20"/>
                <w:rtl w:val="0"/>
              </w:rPr>
              <w:t xml:space="preserve">T1.1: Report was elaborated</w:t>
            </w:r>
          </w:p>
          <w:p w:rsidR="00000000" w:rsidDel="00000000" w:rsidP="00000000" w:rsidRDefault="00000000" w:rsidRPr="00000000" w14:paraId="0000008F">
            <w:pPr>
              <w:spacing w:after="0" w:line="240" w:lineRule="auto"/>
              <w:ind w:left="0" w:hanging="2"/>
              <w:rPr>
                <w:sz w:val="20"/>
                <w:szCs w:val="20"/>
              </w:rPr>
            </w:pPr>
            <w:r w:rsidDel="00000000" w:rsidR="00000000" w:rsidRPr="00000000">
              <w:rPr>
                <w:sz w:val="20"/>
                <w:szCs w:val="20"/>
                <w:rtl w:val="0"/>
              </w:rPr>
              <w:t xml:space="preserve">T1.2: Credit transfer meeting attendance sheets and presentations</w:t>
            </w:r>
          </w:p>
          <w:p w:rsidR="00000000" w:rsidDel="00000000" w:rsidP="00000000" w:rsidRDefault="00000000" w:rsidRPr="00000000" w14:paraId="00000090">
            <w:pPr>
              <w:spacing w:after="0" w:line="240" w:lineRule="auto"/>
              <w:ind w:left="0" w:hanging="2"/>
              <w:rPr>
                <w:sz w:val="20"/>
                <w:szCs w:val="20"/>
              </w:rPr>
            </w:pPr>
            <w:r w:rsidDel="00000000" w:rsidR="00000000" w:rsidRPr="00000000">
              <w:rPr>
                <w:sz w:val="20"/>
                <w:szCs w:val="20"/>
                <w:rtl w:val="0"/>
              </w:rPr>
              <w:t xml:space="preserve">T1.3: Observation visit attendance sheets, pictures and presentations, Report was elaborated</w:t>
            </w:r>
          </w:p>
          <w:p w:rsidR="00000000" w:rsidDel="00000000" w:rsidP="00000000" w:rsidRDefault="00000000" w:rsidRPr="00000000" w14:paraId="00000091">
            <w:pPr>
              <w:spacing w:after="0" w:line="240" w:lineRule="auto"/>
              <w:ind w:left="0" w:hanging="2"/>
              <w:rPr>
                <w:sz w:val="20"/>
                <w:szCs w:val="20"/>
              </w:rPr>
            </w:pPr>
            <w:r w:rsidDel="00000000" w:rsidR="00000000" w:rsidRPr="00000000">
              <w:rPr>
                <w:sz w:val="20"/>
                <w:szCs w:val="20"/>
                <w:rtl w:val="0"/>
              </w:rPr>
              <w:t xml:space="preserve">T1.4: Report was elaborated</w:t>
            </w:r>
          </w:p>
          <w:p w:rsidR="00000000" w:rsidDel="00000000" w:rsidP="00000000" w:rsidRDefault="00000000" w:rsidRPr="00000000" w14:paraId="00000092">
            <w:pPr>
              <w:spacing w:after="0" w:line="240" w:lineRule="auto"/>
              <w:ind w:left="0" w:hanging="2"/>
              <w:rPr>
                <w:sz w:val="20"/>
                <w:szCs w:val="20"/>
              </w:rPr>
            </w:pPr>
            <w:r w:rsidDel="00000000" w:rsidR="00000000" w:rsidRPr="00000000">
              <w:rPr>
                <w:sz w:val="20"/>
                <w:szCs w:val="20"/>
                <w:rtl w:val="0"/>
              </w:rPr>
              <w:t xml:space="preserve">T1.5: Report was elaborated</w:t>
            </w:r>
          </w:p>
          <w:p w:rsidR="00000000" w:rsidDel="00000000" w:rsidP="00000000" w:rsidRDefault="00000000" w:rsidRPr="00000000" w14:paraId="00000093">
            <w:pPr>
              <w:spacing w:after="0" w:line="240" w:lineRule="auto"/>
              <w:ind w:left="0" w:hanging="2"/>
              <w:rPr>
                <w:sz w:val="20"/>
                <w:szCs w:val="20"/>
              </w:rPr>
            </w:pPr>
            <w:r w:rsidDel="00000000" w:rsidR="00000000" w:rsidRPr="00000000">
              <w:rPr>
                <w:sz w:val="20"/>
                <w:szCs w:val="20"/>
                <w:rtl w:val="0"/>
              </w:rPr>
              <w:t xml:space="preserve">T1.6: Stakeholder’s opinion meeting attendance sheets, pictures and presentations, Report was elaborated</w:t>
            </w:r>
          </w:p>
          <w:p w:rsidR="00000000" w:rsidDel="00000000" w:rsidP="00000000" w:rsidRDefault="00000000" w:rsidRPr="00000000" w14:paraId="00000094">
            <w:pPr>
              <w:spacing w:after="0" w:line="240" w:lineRule="auto"/>
              <w:ind w:left="0" w:hanging="2"/>
              <w:rPr>
                <w:sz w:val="20"/>
                <w:szCs w:val="20"/>
              </w:rPr>
            </w:pPr>
            <w:r w:rsidDel="00000000" w:rsidR="00000000" w:rsidRPr="00000000">
              <w:rPr>
                <w:sz w:val="20"/>
                <w:szCs w:val="20"/>
                <w:rtl w:val="0"/>
              </w:rPr>
              <w:t xml:space="preserve">T1.7: Finished guidelines</w:t>
            </w:r>
          </w:p>
        </w:tc>
      </w:tr>
      <w:tr>
        <w:trPr>
          <w:cantSplit w:val="0"/>
          <w:trHeight w:val="493" w:hRule="atLeast"/>
          <w:tblHeader w:val="0"/>
        </w:trPr>
        <w:tc>
          <w:tcPr>
            <w:vAlign w:val="center"/>
          </w:tcPr>
          <w:p w:rsidR="00000000" w:rsidDel="00000000" w:rsidP="00000000" w:rsidRDefault="00000000" w:rsidRPr="00000000" w14:paraId="00000095">
            <w:pPr>
              <w:spacing w:after="0" w:line="240" w:lineRule="auto"/>
              <w:ind w:left="0" w:hanging="2"/>
              <w:rPr>
                <w:sz w:val="20"/>
                <w:szCs w:val="20"/>
              </w:rPr>
            </w:pPr>
            <w:r w:rsidDel="00000000" w:rsidR="00000000" w:rsidRPr="00000000">
              <w:rPr>
                <w:b w:val="1"/>
                <w:sz w:val="20"/>
                <w:szCs w:val="20"/>
                <w:rtl w:val="0"/>
              </w:rPr>
              <w:t xml:space="preserve">Comments</w:t>
            </w:r>
            <w:r w:rsidDel="00000000" w:rsidR="00000000" w:rsidRPr="00000000">
              <w:rPr>
                <w:rtl w:val="0"/>
              </w:rPr>
            </w:r>
          </w:p>
        </w:tc>
        <w:tc>
          <w:tcPr>
            <w:vAlign w:val="center"/>
          </w:tcPr>
          <w:p w:rsidR="00000000" w:rsidDel="00000000" w:rsidP="00000000" w:rsidRDefault="00000000" w:rsidRPr="00000000" w14:paraId="00000096">
            <w:pPr>
              <w:spacing w:after="0" w:line="240" w:lineRule="auto"/>
              <w:ind w:left="0" w:hanging="2"/>
              <w:rPr>
                <w:sz w:val="20"/>
                <w:szCs w:val="20"/>
              </w:rPr>
            </w:pPr>
            <w:r w:rsidDel="00000000" w:rsidR="00000000" w:rsidRPr="00000000">
              <w:rPr>
                <w:sz w:val="20"/>
                <w:szCs w:val="20"/>
                <w:rtl w:val="0"/>
              </w:rPr>
              <w:t xml:space="preserve">Reports T1.1, T1.3, T1.4, T1.5 and T1.6. were elaborated. Observation visits and Stakeholder’s opinion meetings were successful. T1.7 guidelines was elaborated.</w:t>
            </w:r>
          </w:p>
          <w:p w:rsidR="00000000" w:rsidDel="00000000" w:rsidP="00000000" w:rsidRDefault="00000000" w:rsidRPr="00000000" w14:paraId="00000097">
            <w:pPr>
              <w:spacing w:after="0" w:line="240" w:lineRule="auto"/>
              <w:ind w:left="0" w:hanging="2"/>
              <w:rPr>
                <w:sz w:val="20"/>
                <w:szCs w:val="20"/>
              </w:rPr>
            </w:pPr>
            <w:r w:rsidDel="00000000" w:rsidR="00000000" w:rsidRPr="00000000">
              <w:rPr>
                <w:sz w:val="20"/>
                <w:szCs w:val="20"/>
                <w:rtl w:val="0"/>
              </w:rPr>
              <w:t xml:space="preserve">The WP1 tasks were successfully finished.</w:t>
            </w:r>
          </w:p>
        </w:tc>
      </w:tr>
      <w:tr>
        <w:trPr>
          <w:cantSplit w:val="0"/>
          <w:trHeight w:val="321" w:hRule="atLeast"/>
          <w:tblHeader w:val="0"/>
        </w:trPr>
        <w:tc>
          <w:tcPr>
            <w:vAlign w:val="center"/>
          </w:tcPr>
          <w:p w:rsidR="00000000" w:rsidDel="00000000" w:rsidP="00000000" w:rsidRDefault="00000000" w:rsidRPr="00000000" w14:paraId="00000098">
            <w:pPr>
              <w:spacing w:after="0" w:line="240" w:lineRule="auto"/>
              <w:ind w:left="0" w:hanging="2"/>
              <w:rPr>
                <w:sz w:val="20"/>
                <w:szCs w:val="20"/>
              </w:rPr>
            </w:pPr>
            <w:r w:rsidDel="00000000" w:rsidR="00000000" w:rsidRPr="00000000">
              <w:rPr>
                <w:b w:val="1"/>
                <w:sz w:val="20"/>
                <w:szCs w:val="20"/>
                <w:rtl w:val="0"/>
              </w:rPr>
              <w:t xml:space="preserve">Corrective measures</w:t>
            </w:r>
            <w:r w:rsidDel="00000000" w:rsidR="00000000" w:rsidRPr="00000000">
              <w:rPr>
                <w:rtl w:val="0"/>
              </w:rPr>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left="0" w:hanging="2"/>
              <w:rPr>
                <w:sz w:val="20"/>
                <w:szCs w:val="20"/>
              </w:rPr>
            </w:pPr>
            <w:r w:rsidDel="00000000" w:rsidR="00000000" w:rsidRPr="00000000">
              <w:rPr>
                <w:sz w:val="20"/>
                <w:szCs w:val="20"/>
                <w:rtl w:val="0"/>
              </w:rPr>
              <w:t xml:space="preserve">Project coordinator and WP1 lead organization were sped up the tasks of WP1 with sending continuous messages and reminders to all members of the consortium (via email, phone calls and texts) to fill the work package and tasks requirements on time.</w:t>
            </w:r>
          </w:p>
        </w:tc>
      </w:tr>
    </w:tbl>
    <w:p w:rsidR="00000000" w:rsidDel="00000000" w:rsidP="00000000" w:rsidRDefault="00000000" w:rsidRPr="00000000" w14:paraId="0000009A">
      <w:pPr>
        <w:spacing w:after="0" w:lineRule="auto"/>
        <w:ind w:left="0" w:firstLine="0"/>
        <w:jc w:val="both"/>
        <w:rPr/>
      </w:pPr>
      <w:r w:rsidDel="00000000" w:rsidR="00000000" w:rsidRPr="00000000">
        <w:rPr>
          <w:rtl w:val="0"/>
        </w:rPr>
      </w:r>
    </w:p>
    <w:sectPr>
      <w:headerReference r:id="rId10" w:type="default"/>
      <w:footerReference r:id="rId11" w:type="default"/>
      <w:pgSz w:h="16838" w:w="11906" w:orient="portrait"/>
      <w:pgMar w:bottom="1134" w:top="380" w:left="1418" w:right="991" w:header="720" w:footer="58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ind w:left="0" w:right="3401"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88900</wp:posOffset>
              </wp:positionV>
              <wp:extent cx="4598670" cy="1423035"/>
              <wp:effectExtent b="0" l="0" r="0" t="0"/>
              <wp:wrapNone/>
              <wp:docPr id="6" name=""/>
              <a:graphic>
                <a:graphicData uri="http://schemas.microsoft.com/office/word/2010/wordprocessingShape">
                  <wps:wsp>
                    <wps:cNvSpPr/>
                    <wps:cNvPr id="2" name="Shape 2"/>
                    <wps:spPr>
                      <a:xfrm>
                        <a:off x="3056343" y="3078008"/>
                        <a:ext cx="4579315" cy="140398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88900</wp:posOffset>
              </wp:positionV>
              <wp:extent cx="4598670" cy="1423035"/>
              <wp:effectExtent b="0" l="0" r="0" t="0"/>
              <wp:wrapNone/>
              <wp:docPr id="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4598670" cy="14230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3844290</wp:posOffset>
          </wp:positionH>
          <wp:positionV relativeFrom="paragraph">
            <wp:posOffset>0</wp:posOffset>
          </wp:positionV>
          <wp:extent cx="2394585" cy="571500"/>
          <wp:effectExtent b="0" l="0" r="0" t="0"/>
          <wp:wrapSquare wrapText="bothSides" distB="0" distT="0" distL="114300" distR="114300"/>
          <wp:docPr id="9" name="image4.png"/>
          <a:graphic>
            <a:graphicData uri="http://schemas.openxmlformats.org/drawingml/2006/picture">
              <pic:pic>
                <pic:nvPicPr>
                  <pic:cNvPr id="0" name="image4.png"/>
                  <pic:cNvPicPr preferRelativeResize="0"/>
                </pic:nvPicPr>
                <pic:blipFill>
                  <a:blip r:embed="rId2"/>
                  <a:srcRect b="16283" l="0" r="0" t="0"/>
                  <a:stretch>
                    <a:fillRect/>
                  </a:stretch>
                </pic:blipFill>
                <pic:spPr>
                  <a:xfrm>
                    <a:off x="0" y="0"/>
                    <a:ext cx="2394585" cy="571500"/>
                  </a:xfrm>
                  <a:prstGeom prst="rect"/>
                  <a:ln/>
                </pic:spPr>
              </pic:pic>
            </a:graphicData>
          </a:graphic>
        </wp:anchor>
      </w:drawing>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ind w:left="0" w:right="3401" w:hanging="2"/>
      <w:jc w:val="both"/>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spacing w:after="0" w:lineRule="auto"/>
      <w:ind w:left="0" w:hanging="2"/>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b w:val="1"/>
      <w:color w:val="0d0d0d"/>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Normal" w:default="1">
    <w:name w:val="Normal"/>
    <w:qFormat w:val="1"/>
    <w:pPr>
      <w:suppressAutoHyphens w:val="1"/>
      <w:ind w:left="-1" w:leftChars="-1" w:hanging="1" w:hangingChars="1"/>
      <w:textDirection w:val="btLr"/>
      <w:textAlignment w:val="top"/>
      <w:outlineLvl w:val="0"/>
    </w:pPr>
    <w:rPr>
      <w:color w:val="000000"/>
      <w:position w:val="-1"/>
      <w:lang w:eastAsia="en-US" w:val="en-US"/>
    </w:rPr>
  </w:style>
  <w:style w:type="paragraph" w:styleId="Heading1">
    <w:name w:val="heading 1"/>
    <w:basedOn w:val="Normal"/>
    <w:next w:val="Normal"/>
    <w:uiPriority w:val="9"/>
    <w:qFormat w:val="1"/>
    <w:pPr>
      <w:keepNext w:val="1"/>
      <w:keepLines w:val="1"/>
      <w:spacing w:after="0" w:before="240"/>
    </w:pPr>
    <w:rPr>
      <w:rFonts w:ascii="Calibri Light" w:cs="Times New Roman" w:eastAsia="Times New Roman" w:hAnsi="Calibri Light"/>
      <w:b w:val="1"/>
      <w:color w:val="0d0d0d"/>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color w:val="auto"/>
      <w:sz w:val="72"/>
      <w:szCs w:val="72"/>
      <w:lang w:val="en-GB"/>
    </w:rPr>
  </w:style>
  <w:style w:type="table" w:styleId="TableGrid" w:customStyle="1">
    <w:name w:val="TableGrid"/>
    <w:pPr>
      <w:suppressAutoHyphens w:val="1"/>
      <w:spacing w:line="1" w:lineRule="atLeast"/>
      <w:ind w:left="-1" w:leftChars="-1" w:hanging="1" w:hangingChars="1"/>
      <w:textDirection w:val="btLr"/>
      <w:textAlignment w:val="top"/>
      <w:outlineLvl w:val="0"/>
    </w:pPr>
    <w:rPr>
      <w:position w:val="-1"/>
      <w:lang w:eastAsia="en-US" w:val="en-US"/>
    </w:rPr>
    <w:tblPr>
      <w:tblCellMar>
        <w:top w:w="0.0" w:type="dxa"/>
        <w:left w:w="0.0" w:type="dxa"/>
        <w:bottom w:w="0.0" w:type="dxa"/>
        <w:right w:w="0.0" w:type="dxa"/>
      </w:tblCellMar>
    </w:tblPr>
  </w:style>
  <w:style w:type="paragraph" w:styleId="ListParagraph">
    <w:name w:val="List Paragraph"/>
    <w:basedOn w:val="Normal"/>
    <w:pPr>
      <w:ind w:left="720"/>
      <w:contextualSpacing w:val="1"/>
    </w:pPr>
  </w:style>
  <w:style w:type="paragraph" w:styleId="Header">
    <w:name w:val="header"/>
    <w:basedOn w:val="Normal"/>
    <w:qFormat w:val="1"/>
    <w:pPr>
      <w:spacing w:after="0" w:line="240" w:lineRule="auto"/>
    </w:pPr>
  </w:style>
  <w:style w:type="character" w:styleId="HeaderChar" w:customStyle="1">
    <w:name w:val="Header Char"/>
    <w:basedOn w:val="DefaultParagraphFont"/>
    <w:rPr>
      <w:rFonts w:ascii="Calibri" w:cs="Calibri" w:eastAsia="Calibri" w:hAnsi="Calibri"/>
      <w:color w:val="000000"/>
      <w:w w:val="100"/>
      <w:position w:val="-1"/>
      <w:effect w:val="none"/>
      <w:vertAlign w:val="baseline"/>
      <w:cs w:val="0"/>
      <w:em w:val="none"/>
    </w:rPr>
  </w:style>
  <w:style w:type="paragraph" w:styleId="Footer">
    <w:name w:val="footer"/>
    <w:basedOn w:val="Normal"/>
    <w:qFormat w:val="1"/>
    <w:pPr>
      <w:spacing w:after="0" w:line="240" w:lineRule="auto"/>
    </w:pPr>
  </w:style>
  <w:style w:type="character" w:styleId="FooterChar" w:customStyle="1">
    <w:name w:val="Footer Char"/>
    <w:basedOn w:val="DefaultParagraphFont"/>
    <w:rPr>
      <w:rFonts w:ascii="Calibri" w:cs="Calibri" w:eastAsia="Calibri" w:hAnsi="Calibri"/>
      <w:color w:val="000000"/>
      <w:w w:val="100"/>
      <w:position w:val="-1"/>
      <w:effect w:val="none"/>
      <w:vertAlign w:val="baseline"/>
      <w:cs w:val="0"/>
      <w:em w:val="none"/>
    </w:rPr>
  </w:style>
  <w:style w:type="character" w:styleId="il" w:customStyle="1">
    <w:name w:val="il"/>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eastAsia="Calibri" w:hAnsi="Tahoma"/>
      <w:color w:val="000000"/>
      <w:w w:val="100"/>
      <w:position w:val="-1"/>
      <w:sz w:val="16"/>
      <w:szCs w:val="16"/>
      <w:effect w:val="none"/>
      <w:vertAlign w:val="baseline"/>
      <w:cs w:val="0"/>
      <w:em w:val="none"/>
    </w:rPr>
  </w:style>
  <w:style w:type="character" w:styleId="PageNumber">
    <w:name w:val="page number"/>
    <w:basedOn w:val="DefaultParagraphFont"/>
    <w:qFormat w:val="1"/>
    <w:rPr>
      <w:w w:val="100"/>
      <w:position w:val="-1"/>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lang w:eastAsia="en-US" w:val="en-US"/>
    </w:rPr>
  </w:style>
  <w:style w:type="character" w:styleId="NoSpacingChar" w:customStyle="1">
    <w:name w:val="No Spacing Char"/>
    <w:basedOn w:val="DefaultParagraphFont"/>
    <w:rPr>
      <w:w w:val="100"/>
      <w:position w:val="-1"/>
      <w:sz w:val="22"/>
      <w:szCs w:val="22"/>
      <w:effect w:val="none"/>
      <w:vertAlign w:val="baseline"/>
      <w:cs w:val="0"/>
      <w:em w:val="none"/>
      <w:lang w:bidi="ar-SA" w:eastAsia="en-US" w:val="en-US"/>
    </w:rPr>
  </w:style>
  <w:style w:type="character" w:styleId="m2146413890195222770m-6069857095103543499gmail-gr" w:customStyle="1">
    <w:name w:val="m_2146413890195222770m_-6069857095103543499gmail-gr_"/>
    <w:basedOn w:val="DefaultParagraphFont"/>
    <w:rPr>
      <w:w w:val="100"/>
      <w:position w:val="-1"/>
      <w:effect w:val="none"/>
      <w:vertAlign w:val="baseline"/>
      <w:cs w:val="0"/>
      <w:em w:val="none"/>
    </w:rPr>
  </w:style>
  <w:style w:type="table" w:styleId="TableNormal1" w:customStyle="1">
    <w:name w:val="Table Normal1"/>
    <w:pPr>
      <w:suppressAutoHyphens w:val="1"/>
      <w:ind w:left="-1" w:leftChars="-1" w:hanging="1" w:hangingChars="1"/>
      <w:textDirection w:val="btLr"/>
      <w:textAlignment w:val="top"/>
      <w:outlineLvl w:val="0"/>
    </w:pPr>
    <w:rPr>
      <w:position w:val="-1"/>
      <w:lang w:eastAsia="en-US"/>
    </w:rPr>
    <w:tblPr>
      <w:tblCellMar>
        <w:top w:w="0.0" w:type="dxa"/>
        <w:left w:w="0.0" w:type="dxa"/>
        <w:bottom w:w="0.0" w:type="dxa"/>
        <w:right w:w="0.0" w:type="dxa"/>
      </w:tblCellMar>
    </w:tblPr>
  </w:style>
  <w:style w:type="character" w:styleId="TitleChar" w:customStyle="1">
    <w:name w:val="Title Char"/>
    <w:basedOn w:val="DefaultParagraphFont"/>
    <w:rPr>
      <w:rFonts w:ascii="Calibri" w:cs="Calibri" w:eastAsia="Calibri" w:hAnsi="Calibri"/>
      <w:b w:val="1"/>
      <w:w w:val="100"/>
      <w:position w:val="-1"/>
      <w:sz w:val="72"/>
      <w:szCs w:val="72"/>
      <w:effect w:val="none"/>
      <w:vertAlign w:val="baseline"/>
      <w:cs w:val="0"/>
      <w:em w:val="none"/>
      <w:lang w:val="en-GB"/>
    </w:rPr>
  </w:style>
  <w:style w:type="paragraph" w:styleId="NormalWeb">
    <w:name w:val="Normal (Web)"/>
    <w:basedOn w:val="Normal"/>
    <w:qFormat w:val="1"/>
    <w:pPr>
      <w:spacing w:after="100" w:afterAutospacing="1" w:before="100" w:beforeAutospacing="1" w:line="240" w:lineRule="auto"/>
    </w:pPr>
    <w:rPr>
      <w:rFonts w:ascii="Times New Roman" w:cs="Times New Roman" w:eastAsia="Times New Roman" w:hAnsi="Times New Roman"/>
      <w:color w:val="auto"/>
      <w:sz w:val="24"/>
      <w:szCs w:val="24"/>
    </w:rPr>
  </w:style>
  <w:style w:type="table" w:styleId="TableGrid0">
    <w:name w:val="Table Grid"/>
    <w:basedOn w:val="TableNormal"/>
    <w:pPr>
      <w:suppressAutoHyphens w:val="1"/>
      <w:spacing w:after="0" w:line="240" w:lineRule="auto"/>
      <w:ind w:left="-1" w:leftChars="-1" w:hanging="1" w:hangingChars="1"/>
      <w:textDirection w:val="btLr"/>
      <w:textAlignment w:val="top"/>
      <w:outlineLvl w:val="0"/>
    </w:pPr>
    <w:rPr>
      <w:rFonts w:ascii="Times New Roman" w:cs="Arial" w:eastAsia="Times New Roman" w:hAnsi="Times New Roman"/>
      <w:position w:val="-1"/>
      <w:sz w:val="20"/>
      <w:szCs w:val="20"/>
      <w:lang w:eastAsia="fr-BE" w:val="fr-B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rPr>
      <w:rFonts w:ascii="Calibri Light" w:cs="Times New Roman" w:eastAsia="Times New Roman" w:hAnsi="Calibri Light"/>
      <w:b w:val="1"/>
      <w:color w:val="0d0d0d"/>
      <w:w w:val="100"/>
      <w:position w:val="-1"/>
      <w:sz w:val="32"/>
      <w:szCs w:val="32"/>
      <w:effect w:val="none"/>
      <w:vertAlign w:val="baseline"/>
      <w:cs w:val="0"/>
      <w:em w:val="none"/>
    </w:rPr>
  </w:style>
  <w:style w:type="character" w:styleId="SelPlus" w:customStyle="1">
    <w:name w:val="SelPlus"/>
    <w:basedOn w:val="DefaultParagraphFont"/>
    <w:rPr>
      <w:rFonts w:ascii="Calibri" w:hAnsi="Calibri"/>
      <w:b w:val="1"/>
      <w:w w:val="100"/>
      <w:position w:val="-1"/>
      <w:sz w:val="36"/>
      <w:szCs w:val="36"/>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Myriad Pro" w:cs="Myriad Pro" w:hAnsi="Myriad Pro"/>
      <w:color w:val="000000"/>
      <w:position w:val="-1"/>
      <w:sz w:val="24"/>
      <w:szCs w:val="24"/>
      <w:lang w:eastAsia="en-GB"/>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hanging="1"/>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hanging="1"/>
    </w:pPr>
    <w:rPr>
      <w:rFonts w:ascii="Times New Roman" w:cs="Times New Roman" w:eastAsia="Times New Roman" w:hAnsi="Times New Roman"/>
      <w:sz w:val="20"/>
      <w:szCs w:val="20"/>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QmgdOuSfbjUNs8MDzgIrXDysxw==">AMUW2mWCKFAL0V7m0lLZv6vMLTX6UyOISzZuByDDohyG5pmCW/ObGMVyastgAD+OI8pAhfz9Y/1pTmXdfkSCvg9vg+tkSDLka1lM+mvJ94YxKc/4NTEzlqf0lgsSbaBsTZVxtPnxKlvy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2021-10-29T08:33:00Z</dcterms:created>
  <dc:creator>valleea</dc:creator>
</cp:coreProperties>
</file>